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B9D772" w14:textId="77777777" w:rsidR="000E6F95" w:rsidRPr="000169BD" w:rsidRDefault="000E6F95" w:rsidP="000E6F95">
      <w:pPr>
        <w:jc w:val="center"/>
        <w:rPr>
          <w:rFonts w:asciiTheme="minorHAnsi" w:hAnsiTheme="minorHAnsi"/>
          <w:b/>
          <w:color w:val="003366"/>
          <w:sz w:val="36"/>
          <w:szCs w:val="36"/>
        </w:rPr>
      </w:pPr>
      <w:r w:rsidRPr="000169BD">
        <w:rPr>
          <w:rFonts w:asciiTheme="minorHAnsi" w:hAnsiTheme="minorHAnsi"/>
          <w:b/>
          <w:noProof/>
          <w:color w:val="003366"/>
          <w:sz w:val="36"/>
          <w:szCs w:val="36"/>
        </w:rPr>
        <w:drawing>
          <wp:inline distT="0" distB="0" distL="0" distR="0" wp14:anchorId="3199D194" wp14:editId="7509DDC0">
            <wp:extent cx="3112008" cy="329184"/>
            <wp:effectExtent l="19050" t="0" r="0" b="0"/>
            <wp:docPr id="2" name="Picture 3" descr="RNAO_Logo_H_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NAO_Logo_H_CMYK.tif"/>
                    <pic:cNvPicPr/>
                  </pic:nvPicPr>
                  <pic:blipFill>
                    <a:blip r:embed="rId8" cstate="print"/>
                    <a:stretch>
                      <a:fillRect/>
                    </a:stretch>
                  </pic:blipFill>
                  <pic:spPr>
                    <a:xfrm>
                      <a:off x="0" y="0"/>
                      <a:ext cx="3112008" cy="329184"/>
                    </a:xfrm>
                    <a:prstGeom prst="rect">
                      <a:avLst/>
                    </a:prstGeom>
                  </pic:spPr>
                </pic:pic>
              </a:graphicData>
            </a:graphic>
          </wp:inline>
        </w:drawing>
      </w:r>
    </w:p>
    <w:p w14:paraId="258B2AC6" w14:textId="77777777" w:rsidR="000E6F95" w:rsidRPr="000169BD" w:rsidRDefault="000E6F95" w:rsidP="000E6F95">
      <w:pPr>
        <w:jc w:val="center"/>
        <w:rPr>
          <w:rFonts w:asciiTheme="minorHAnsi" w:hAnsiTheme="minorHAnsi"/>
          <w:b/>
          <w:color w:val="003366"/>
          <w:sz w:val="36"/>
          <w:szCs w:val="36"/>
        </w:rPr>
      </w:pPr>
    </w:p>
    <w:p w14:paraId="66F4B928" w14:textId="77777777" w:rsidR="000E6F95" w:rsidRPr="000169BD" w:rsidRDefault="000E6F95" w:rsidP="00EF41DF">
      <w:pPr>
        <w:jc w:val="center"/>
        <w:rPr>
          <w:rFonts w:asciiTheme="minorHAnsi" w:hAnsiTheme="minorHAnsi"/>
          <w:b/>
          <w:color w:val="003366"/>
          <w:sz w:val="36"/>
          <w:szCs w:val="36"/>
        </w:rPr>
      </w:pPr>
    </w:p>
    <w:p w14:paraId="458CC4F2" w14:textId="77777777" w:rsidR="00986F4E" w:rsidRPr="00986F4E" w:rsidRDefault="00986F4E" w:rsidP="00986F4E">
      <w:pPr>
        <w:jc w:val="center"/>
        <w:rPr>
          <w:rFonts w:asciiTheme="minorHAnsi" w:hAnsiTheme="minorHAnsi" w:cstheme="minorHAnsi"/>
          <w:b/>
          <w:color w:val="003366"/>
          <w:sz w:val="36"/>
          <w:szCs w:val="36"/>
        </w:rPr>
      </w:pPr>
      <w:r w:rsidRPr="00986F4E">
        <w:rPr>
          <w:rFonts w:asciiTheme="minorHAnsi" w:hAnsiTheme="minorHAnsi" w:cstheme="minorHAnsi"/>
          <w:b/>
          <w:color w:val="003366"/>
          <w:sz w:val="36"/>
          <w:szCs w:val="36"/>
        </w:rPr>
        <w:t>Gap analysis:  Transitions in Care and Services, (2</w:t>
      </w:r>
      <w:r w:rsidRPr="00986F4E">
        <w:rPr>
          <w:rFonts w:asciiTheme="minorHAnsi" w:hAnsiTheme="minorHAnsi" w:cstheme="minorHAnsi"/>
          <w:b/>
          <w:color w:val="003366"/>
          <w:sz w:val="36"/>
          <w:szCs w:val="36"/>
          <w:vertAlign w:val="superscript"/>
        </w:rPr>
        <w:t>nd</w:t>
      </w:r>
      <w:r w:rsidRPr="00986F4E">
        <w:rPr>
          <w:rFonts w:asciiTheme="minorHAnsi" w:hAnsiTheme="minorHAnsi" w:cstheme="minorHAnsi"/>
          <w:b/>
          <w:color w:val="003366"/>
          <w:sz w:val="36"/>
          <w:szCs w:val="36"/>
        </w:rPr>
        <w:t xml:space="preserve"> edition), 2023</w:t>
      </w:r>
    </w:p>
    <w:p w14:paraId="446C587F" w14:textId="77777777" w:rsidR="00986F4E" w:rsidRPr="00986F4E" w:rsidRDefault="00986F4E" w:rsidP="00986F4E">
      <w:pPr>
        <w:jc w:val="center"/>
        <w:rPr>
          <w:rFonts w:asciiTheme="minorHAnsi" w:hAnsiTheme="minorHAnsi" w:cstheme="minorHAnsi"/>
          <w:b/>
          <w:color w:val="003366"/>
          <w:sz w:val="30"/>
          <w:szCs w:val="30"/>
        </w:rPr>
      </w:pPr>
    </w:p>
    <w:p w14:paraId="0B8BDF26" w14:textId="77777777" w:rsidR="00986F4E" w:rsidRPr="00986F4E" w:rsidRDefault="00986F4E" w:rsidP="00986F4E">
      <w:pPr>
        <w:jc w:val="center"/>
        <w:rPr>
          <w:rFonts w:asciiTheme="minorHAnsi" w:hAnsiTheme="minorHAnsi" w:cstheme="minorHAnsi"/>
          <w:b/>
          <w:color w:val="003366"/>
          <w:sz w:val="36"/>
          <w:szCs w:val="36"/>
        </w:rPr>
      </w:pPr>
      <w:r w:rsidRPr="00986F4E">
        <w:rPr>
          <w:rFonts w:asciiTheme="minorHAnsi" w:hAnsiTheme="minorHAnsi" w:cstheme="minorHAnsi"/>
          <w:b/>
          <w:color w:val="003366"/>
          <w:sz w:val="36"/>
          <w:szCs w:val="36"/>
        </w:rPr>
        <w:t>Work Sheet</w:t>
      </w:r>
    </w:p>
    <w:p w14:paraId="71279C93" w14:textId="53B7999C" w:rsidR="001F1E41" w:rsidRPr="000169BD" w:rsidRDefault="001F1E41" w:rsidP="00986F4E">
      <w:pPr>
        <w:jc w:val="center"/>
        <w:rPr>
          <w:rFonts w:asciiTheme="minorHAnsi" w:hAnsiTheme="minorHAnsi"/>
          <w:b/>
          <w:color w:val="003366"/>
          <w:sz w:val="36"/>
          <w:szCs w:val="36"/>
        </w:rPr>
      </w:pPr>
    </w:p>
    <w:p w14:paraId="17AE9BA1" w14:textId="77777777" w:rsidR="00E82AEE" w:rsidRPr="000169BD" w:rsidRDefault="00E82AEE" w:rsidP="00796EE6">
      <w:pPr>
        <w:jc w:val="center"/>
        <w:rPr>
          <w:rFonts w:asciiTheme="minorHAnsi" w:hAnsiTheme="minorHAnsi"/>
          <w:b/>
          <w:color w:val="003366"/>
        </w:rPr>
      </w:pPr>
    </w:p>
    <w:p w14:paraId="20953C71" w14:textId="3074659B" w:rsidR="0030475F" w:rsidRDefault="00986F4E" w:rsidP="00796EE6">
      <w:pPr>
        <w:jc w:val="center"/>
        <w:rPr>
          <w:rFonts w:asciiTheme="minorHAnsi" w:hAnsiTheme="minorHAnsi"/>
          <w:b/>
          <w:color w:val="003366"/>
          <w:sz w:val="36"/>
          <w:szCs w:val="36"/>
        </w:rPr>
      </w:pPr>
      <w:r w:rsidRPr="007979AD">
        <w:rPr>
          <w:rFonts w:cstheme="minorHAnsi"/>
          <w:b/>
          <w:noProof/>
          <w:color w:val="003366"/>
          <w:sz w:val="36"/>
          <w:szCs w:val="36"/>
        </w:rPr>
        <w:drawing>
          <wp:inline distT="0" distB="0" distL="0" distR="0" wp14:anchorId="7C6AC0E0" wp14:editId="26763BDA">
            <wp:extent cx="3057525" cy="3763770"/>
            <wp:effectExtent l="0" t="0" r="0" b="8255"/>
            <wp:docPr id="1577626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26969" name=""/>
                    <pic:cNvPicPr/>
                  </pic:nvPicPr>
                  <pic:blipFill>
                    <a:blip r:embed="rId9"/>
                    <a:stretch>
                      <a:fillRect/>
                    </a:stretch>
                  </pic:blipFill>
                  <pic:spPr>
                    <a:xfrm>
                      <a:off x="0" y="0"/>
                      <a:ext cx="3062342" cy="3769700"/>
                    </a:xfrm>
                    <a:prstGeom prst="rect">
                      <a:avLst/>
                    </a:prstGeom>
                  </pic:spPr>
                </pic:pic>
              </a:graphicData>
            </a:graphic>
          </wp:inline>
        </w:drawing>
      </w:r>
    </w:p>
    <w:p w14:paraId="183C836F" w14:textId="77777777" w:rsidR="002A668C" w:rsidRDefault="002A668C" w:rsidP="003A2C59">
      <w:pPr>
        <w:jc w:val="center"/>
        <w:rPr>
          <w:rFonts w:asciiTheme="minorHAnsi" w:hAnsiTheme="minorHAnsi"/>
          <w:color w:val="003366"/>
          <w:szCs w:val="28"/>
        </w:rPr>
      </w:pPr>
    </w:p>
    <w:p w14:paraId="648AFEA2" w14:textId="77777777" w:rsidR="002A668C" w:rsidRDefault="002A668C" w:rsidP="003A2C59">
      <w:pPr>
        <w:jc w:val="center"/>
        <w:rPr>
          <w:rFonts w:asciiTheme="minorHAnsi" w:hAnsiTheme="minorHAnsi"/>
          <w:color w:val="003366"/>
          <w:szCs w:val="28"/>
        </w:rPr>
      </w:pPr>
    </w:p>
    <w:p w14:paraId="4357675D" w14:textId="77777777" w:rsidR="002A668C" w:rsidRDefault="002A668C" w:rsidP="003A2C59">
      <w:pPr>
        <w:jc w:val="center"/>
        <w:rPr>
          <w:rFonts w:asciiTheme="minorHAnsi" w:hAnsiTheme="minorHAnsi"/>
          <w:color w:val="003366"/>
          <w:szCs w:val="28"/>
        </w:rPr>
      </w:pPr>
    </w:p>
    <w:p w14:paraId="0B2544D0" w14:textId="77777777" w:rsidR="002A668C" w:rsidRDefault="002A668C" w:rsidP="003A2C59">
      <w:pPr>
        <w:jc w:val="center"/>
        <w:rPr>
          <w:rFonts w:asciiTheme="minorHAnsi" w:hAnsiTheme="minorHAnsi"/>
          <w:color w:val="003366"/>
          <w:szCs w:val="28"/>
        </w:rPr>
      </w:pPr>
    </w:p>
    <w:p w14:paraId="568B8532" w14:textId="77777777" w:rsidR="00986F4E" w:rsidRDefault="00986F4E" w:rsidP="00986F4E">
      <w:pPr>
        <w:jc w:val="center"/>
        <w:rPr>
          <w:rFonts w:cstheme="minorHAnsi"/>
          <w:color w:val="003366"/>
          <w:szCs w:val="28"/>
        </w:rPr>
      </w:pPr>
      <w:r w:rsidRPr="004B20DD">
        <w:rPr>
          <w:rFonts w:cstheme="minorHAnsi"/>
          <w:color w:val="003366"/>
          <w:szCs w:val="28"/>
        </w:rPr>
        <w:t>This guideline can be downloaded for free at:</w:t>
      </w:r>
    </w:p>
    <w:p w14:paraId="4181AA47" w14:textId="77777777" w:rsidR="00986F4E" w:rsidRPr="004B20DD" w:rsidRDefault="00000000" w:rsidP="00986F4E">
      <w:pPr>
        <w:jc w:val="center"/>
        <w:rPr>
          <w:rFonts w:cstheme="minorHAnsi"/>
        </w:rPr>
      </w:pPr>
      <w:hyperlink r:id="rId10" w:history="1">
        <w:r w:rsidR="00986F4E" w:rsidRPr="006631FD">
          <w:rPr>
            <w:rStyle w:val="Hyperlink"/>
            <w:rFonts w:cstheme="minorHAnsi"/>
            <w:szCs w:val="28"/>
          </w:rPr>
          <w:t>https://rnao.ca/bpg/guidelines/transitions-in-care</w:t>
        </w:r>
      </w:hyperlink>
      <w:r w:rsidR="00986F4E">
        <w:t xml:space="preserve"> </w:t>
      </w:r>
      <w:r w:rsidR="00986F4E" w:rsidRPr="004B20DD">
        <w:rPr>
          <w:rFonts w:cstheme="minorHAnsi"/>
        </w:rPr>
        <w:t xml:space="preserve"> </w:t>
      </w:r>
    </w:p>
    <w:p w14:paraId="7CAE56E1" w14:textId="34C722B7" w:rsidR="003A2C59" w:rsidRDefault="003A2C59" w:rsidP="00986F4E">
      <w:pPr>
        <w:jc w:val="center"/>
      </w:pPr>
    </w:p>
    <w:p w14:paraId="4747EE86" w14:textId="77777777" w:rsidR="002A668C" w:rsidRDefault="002A668C" w:rsidP="003A2C59">
      <w:pPr>
        <w:jc w:val="center"/>
        <w:rPr>
          <w:rFonts w:asciiTheme="minorHAnsi" w:hAnsiTheme="minorHAnsi"/>
          <w:color w:val="003366"/>
          <w:szCs w:val="4"/>
        </w:rPr>
      </w:pPr>
    </w:p>
    <w:p w14:paraId="2D965D07" w14:textId="77777777" w:rsidR="003A2C59" w:rsidRDefault="003A2C59" w:rsidP="003A2C59">
      <w:pPr>
        <w:jc w:val="center"/>
        <w:rPr>
          <w:rFonts w:asciiTheme="minorHAnsi" w:hAnsiTheme="minorHAnsi"/>
          <w:color w:val="003366"/>
          <w:szCs w:val="4"/>
        </w:rPr>
      </w:pPr>
    </w:p>
    <w:p w14:paraId="1BF520DD" w14:textId="35308D4B" w:rsidR="00F37F13" w:rsidRDefault="003A2C59" w:rsidP="00F37F13">
      <w:pPr>
        <w:jc w:val="center"/>
        <w:rPr>
          <w:rFonts w:ascii="Calibri" w:hAnsi="Calibri"/>
          <w:color w:val="003366"/>
          <w:szCs w:val="4"/>
        </w:rPr>
      </w:pPr>
      <w:r>
        <w:rPr>
          <w:rFonts w:asciiTheme="minorHAnsi" w:hAnsiTheme="minorHAnsi"/>
          <w:i/>
          <w:color w:val="003366"/>
          <w:szCs w:val="4"/>
        </w:rPr>
        <w:t xml:space="preserve"> </w:t>
      </w:r>
      <w:bookmarkStart w:id="0" w:name="_Hlk108004767"/>
      <w:r w:rsidR="00F37F13">
        <w:rPr>
          <w:rFonts w:ascii="Calibri" w:hAnsi="Calibri"/>
          <w:color w:val="003366"/>
          <w:szCs w:val="4"/>
        </w:rPr>
        <w:t xml:space="preserve"> </w:t>
      </w:r>
      <w:bookmarkStart w:id="1" w:name="_Hlk108013955"/>
      <w:r w:rsidR="00F37F13">
        <w:rPr>
          <w:rFonts w:ascii="Calibri" w:hAnsi="Calibri"/>
          <w:color w:val="003366"/>
          <w:szCs w:val="4"/>
        </w:rPr>
        <w:t>RNAO Leading Change Toolkit 3</w:t>
      </w:r>
      <w:r w:rsidR="00F37F13" w:rsidRPr="006D37EA">
        <w:rPr>
          <w:rFonts w:ascii="Calibri" w:hAnsi="Calibri"/>
          <w:color w:val="003366"/>
          <w:szCs w:val="4"/>
          <w:vertAlign w:val="superscript"/>
        </w:rPr>
        <w:t>rd</w:t>
      </w:r>
      <w:r w:rsidR="00F37F13">
        <w:rPr>
          <w:rFonts w:ascii="Calibri" w:hAnsi="Calibri"/>
          <w:color w:val="003366"/>
          <w:szCs w:val="4"/>
        </w:rPr>
        <w:t xml:space="preserve"> Edition</w:t>
      </w:r>
    </w:p>
    <w:p w14:paraId="25FA8BD6" w14:textId="536832D6" w:rsidR="00F37F13" w:rsidRDefault="00000000" w:rsidP="00F37F13">
      <w:pPr>
        <w:jc w:val="center"/>
        <w:rPr>
          <w:rFonts w:ascii="Calibri" w:hAnsi="Calibri"/>
          <w:color w:val="003366"/>
          <w:szCs w:val="4"/>
        </w:rPr>
      </w:pPr>
      <w:hyperlink r:id="rId11" w:history="1">
        <w:r w:rsidR="00F37F13" w:rsidRPr="00EF4505">
          <w:rPr>
            <w:rStyle w:val="Hyperlink"/>
            <w:rFonts w:ascii="Calibri" w:hAnsi="Calibri"/>
            <w:szCs w:val="4"/>
          </w:rPr>
          <w:t>https://rnao.ca/leading-change-toolkit</w:t>
        </w:r>
      </w:hyperlink>
    </w:p>
    <w:bookmarkEnd w:id="0"/>
    <w:bookmarkEnd w:id="1"/>
    <w:p w14:paraId="7915E15D" w14:textId="77777777" w:rsidR="00F37F13" w:rsidRDefault="00F37F13" w:rsidP="00F37F13">
      <w:pPr>
        <w:jc w:val="center"/>
        <w:rPr>
          <w:rFonts w:ascii="Calibri" w:hAnsi="Calibri"/>
          <w:color w:val="003366"/>
          <w:szCs w:val="4"/>
        </w:rPr>
      </w:pPr>
    </w:p>
    <w:p w14:paraId="0EDCA141" w14:textId="0BC68F3D" w:rsidR="00796EE6" w:rsidRDefault="00796EE6" w:rsidP="00F37F13">
      <w:pPr>
        <w:jc w:val="center"/>
        <w:rPr>
          <w:rFonts w:asciiTheme="minorHAnsi" w:hAnsiTheme="minorHAnsi"/>
          <w:b/>
          <w:color w:val="003366"/>
          <w:sz w:val="4"/>
          <w:szCs w:val="4"/>
        </w:rPr>
      </w:pPr>
    </w:p>
    <w:p w14:paraId="4122F761" w14:textId="77777777" w:rsidR="000169BD" w:rsidRPr="000169BD" w:rsidRDefault="000169BD" w:rsidP="000169BD">
      <w:pPr>
        <w:rPr>
          <w:rFonts w:asciiTheme="minorHAnsi" w:hAnsiTheme="minorHAnsi"/>
          <w:b/>
          <w:color w:val="003366"/>
          <w:sz w:val="4"/>
          <w:szCs w:val="4"/>
        </w:rPr>
        <w:sectPr w:rsidR="000169BD" w:rsidRPr="000169BD" w:rsidSect="00A807D1">
          <w:headerReference w:type="default" r:id="rId12"/>
          <w:footerReference w:type="default" r:id="rId13"/>
          <w:pgSz w:w="12240" w:h="15840" w:code="1"/>
          <w:pgMar w:top="720" w:right="1008" w:bottom="864" w:left="1008" w:header="576" w:footer="576" w:gutter="0"/>
          <w:pgBorders w:display="firstPage" w:offsetFrom="page">
            <w:top w:val="single" w:sz="24" w:space="24" w:color="008080"/>
            <w:left w:val="single" w:sz="24" w:space="24" w:color="008080"/>
            <w:bottom w:val="single" w:sz="24" w:space="24" w:color="008080"/>
            <w:right w:val="single" w:sz="24" w:space="24" w:color="008080"/>
          </w:pgBorders>
          <w:cols w:space="720"/>
          <w:vAlign w:val="center"/>
          <w:titlePg/>
          <w:docGrid w:linePitch="360"/>
        </w:sectPr>
      </w:pPr>
    </w:p>
    <w:bookmarkStart w:id="2" w:name="_MON_1438764607"/>
    <w:bookmarkEnd w:id="2"/>
    <w:p w14:paraId="3C428EFB" w14:textId="31B3EE01" w:rsidR="00C577F0" w:rsidRPr="009E7515" w:rsidRDefault="000F7DFC" w:rsidP="000169BD">
      <w:pPr>
        <w:rPr>
          <w:b/>
          <w:color w:val="003366"/>
          <w:sz w:val="16"/>
          <w:szCs w:val="4"/>
        </w:rPr>
      </w:pPr>
      <w:r w:rsidRPr="009E7515">
        <w:rPr>
          <w:b/>
          <w:color w:val="003366"/>
          <w:sz w:val="16"/>
          <w:szCs w:val="4"/>
        </w:rPr>
        <w:object w:dxaOrig="9874" w:dyaOrig="12324" w14:anchorId="25E5C6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3.5pt;height:616pt" o:ole="">
            <v:imagedata r:id="rId14" o:title=""/>
          </v:shape>
          <o:OLEObject Type="Embed" ProgID="Word.Document.12" ShapeID="_x0000_i1025" DrawAspect="Content" ObjectID="_1768120142" r:id="rId15">
            <o:FieldCodes>\s</o:FieldCodes>
          </o:OLEObject>
        </w:object>
      </w:r>
    </w:p>
    <w:p w14:paraId="757929FD" w14:textId="6073FA84" w:rsidR="00160EE4" w:rsidRDefault="00160EE4" w:rsidP="000169BD">
      <w:pPr>
        <w:rPr>
          <w:rFonts w:asciiTheme="minorHAnsi" w:hAnsiTheme="minorHAnsi"/>
          <w:b/>
          <w:color w:val="003366"/>
          <w:sz w:val="4"/>
          <w:szCs w:val="4"/>
        </w:rPr>
      </w:pPr>
    </w:p>
    <w:p w14:paraId="5C5E70CB" w14:textId="2E1A0998" w:rsidR="00C577F0" w:rsidRDefault="00C577F0" w:rsidP="000169BD">
      <w:pPr>
        <w:rPr>
          <w:rFonts w:asciiTheme="minorHAnsi" w:hAnsiTheme="minorHAnsi"/>
          <w:b/>
          <w:color w:val="003366"/>
          <w:sz w:val="4"/>
          <w:szCs w:val="4"/>
        </w:rPr>
      </w:pPr>
    </w:p>
    <w:p w14:paraId="37EECAA3" w14:textId="205A40E5" w:rsidR="00C577F0" w:rsidRDefault="00C577F0" w:rsidP="000169BD">
      <w:pPr>
        <w:rPr>
          <w:rFonts w:asciiTheme="minorHAnsi" w:hAnsiTheme="minorHAnsi"/>
          <w:b/>
          <w:color w:val="003366"/>
          <w:sz w:val="4"/>
          <w:szCs w:val="4"/>
        </w:rPr>
      </w:pPr>
    </w:p>
    <w:p w14:paraId="41784D22" w14:textId="57043C00" w:rsidR="00C577F0" w:rsidRDefault="00C577F0" w:rsidP="000169BD">
      <w:pPr>
        <w:rPr>
          <w:rFonts w:asciiTheme="minorHAnsi" w:hAnsiTheme="minorHAnsi"/>
          <w:b/>
          <w:color w:val="003366"/>
          <w:sz w:val="4"/>
          <w:szCs w:val="4"/>
        </w:rPr>
      </w:pPr>
    </w:p>
    <w:p w14:paraId="587EA3BD" w14:textId="693BA5E4" w:rsidR="00C577F0" w:rsidRDefault="00C577F0" w:rsidP="000169BD">
      <w:pPr>
        <w:rPr>
          <w:rFonts w:asciiTheme="minorHAnsi" w:hAnsiTheme="minorHAnsi"/>
          <w:b/>
          <w:color w:val="003366"/>
          <w:sz w:val="4"/>
          <w:szCs w:val="4"/>
        </w:rPr>
      </w:pPr>
    </w:p>
    <w:p w14:paraId="30580FAB" w14:textId="0ADF9959" w:rsidR="00C577F0" w:rsidRDefault="00C577F0" w:rsidP="000169BD">
      <w:pPr>
        <w:rPr>
          <w:rFonts w:asciiTheme="minorHAnsi" w:hAnsiTheme="minorHAnsi"/>
          <w:b/>
          <w:color w:val="003366"/>
          <w:sz w:val="4"/>
          <w:szCs w:val="4"/>
        </w:rPr>
      </w:pPr>
    </w:p>
    <w:p w14:paraId="3F0AA900" w14:textId="0CB7A8E1" w:rsidR="00C577F0" w:rsidRDefault="00C577F0" w:rsidP="000169BD">
      <w:pPr>
        <w:rPr>
          <w:rFonts w:asciiTheme="minorHAnsi" w:hAnsiTheme="minorHAnsi"/>
          <w:b/>
          <w:color w:val="003366"/>
          <w:sz w:val="4"/>
          <w:szCs w:val="4"/>
        </w:rPr>
      </w:pPr>
    </w:p>
    <w:p w14:paraId="7CD689EA" w14:textId="44C8D24C" w:rsidR="00C577F0" w:rsidRDefault="00C577F0" w:rsidP="000169BD">
      <w:pPr>
        <w:rPr>
          <w:rFonts w:asciiTheme="minorHAnsi" w:hAnsiTheme="minorHAnsi"/>
          <w:b/>
          <w:color w:val="003366"/>
          <w:sz w:val="4"/>
          <w:szCs w:val="4"/>
        </w:rPr>
      </w:pPr>
    </w:p>
    <w:p w14:paraId="673883C6" w14:textId="4F10EF81" w:rsidR="00C577F0" w:rsidRDefault="00C577F0" w:rsidP="000169BD">
      <w:pPr>
        <w:rPr>
          <w:rFonts w:asciiTheme="minorHAnsi" w:hAnsiTheme="minorHAnsi"/>
          <w:b/>
          <w:color w:val="003366"/>
          <w:sz w:val="4"/>
          <w:szCs w:val="4"/>
        </w:rPr>
      </w:pPr>
    </w:p>
    <w:p w14:paraId="57C1000E" w14:textId="4B439C88" w:rsidR="00C577F0" w:rsidRDefault="00C577F0" w:rsidP="000169BD">
      <w:pPr>
        <w:rPr>
          <w:rFonts w:asciiTheme="minorHAnsi" w:hAnsiTheme="minorHAnsi"/>
          <w:b/>
          <w:color w:val="003366"/>
          <w:sz w:val="4"/>
          <w:szCs w:val="4"/>
        </w:rPr>
      </w:pPr>
    </w:p>
    <w:p w14:paraId="7BD8F8B3" w14:textId="677DE0FF" w:rsidR="00C577F0" w:rsidRDefault="00C577F0" w:rsidP="000169BD">
      <w:pPr>
        <w:rPr>
          <w:rFonts w:asciiTheme="minorHAnsi" w:hAnsiTheme="minorHAnsi"/>
          <w:b/>
          <w:color w:val="003366"/>
          <w:sz w:val="4"/>
          <w:szCs w:val="4"/>
        </w:rPr>
      </w:pPr>
    </w:p>
    <w:p w14:paraId="632D83BB" w14:textId="44666E22" w:rsidR="00C577F0" w:rsidRDefault="00C577F0" w:rsidP="000169BD">
      <w:pPr>
        <w:rPr>
          <w:rFonts w:asciiTheme="minorHAnsi" w:hAnsiTheme="minorHAnsi"/>
          <w:b/>
          <w:color w:val="003366"/>
          <w:sz w:val="4"/>
          <w:szCs w:val="4"/>
        </w:rPr>
      </w:pPr>
    </w:p>
    <w:p w14:paraId="289BD8E9" w14:textId="650124AD" w:rsidR="00C577F0" w:rsidRDefault="00C577F0" w:rsidP="000169BD">
      <w:pPr>
        <w:rPr>
          <w:rFonts w:asciiTheme="minorHAnsi" w:hAnsiTheme="minorHAnsi"/>
          <w:b/>
          <w:color w:val="003366"/>
          <w:sz w:val="4"/>
          <w:szCs w:val="4"/>
        </w:rPr>
      </w:pPr>
    </w:p>
    <w:p w14:paraId="77E8DBBC" w14:textId="40376F8D" w:rsidR="00C577F0" w:rsidRDefault="00C577F0" w:rsidP="000169BD">
      <w:pPr>
        <w:rPr>
          <w:rFonts w:asciiTheme="minorHAnsi" w:hAnsiTheme="minorHAnsi"/>
          <w:b/>
          <w:color w:val="003366"/>
          <w:sz w:val="4"/>
          <w:szCs w:val="4"/>
        </w:rPr>
      </w:pPr>
    </w:p>
    <w:p w14:paraId="29BF52A2" w14:textId="0C3ECB46" w:rsidR="00C577F0" w:rsidRDefault="00C577F0" w:rsidP="000169BD">
      <w:pPr>
        <w:rPr>
          <w:rFonts w:asciiTheme="minorHAnsi" w:hAnsiTheme="minorHAnsi"/>
          <w:b/>
          <w:color w:val="003366"/>
          <w:sz w:val="4"/>
          <w:szCs w:val="4"/>
        </w:rPr>
      </w:pPr>
    </w:p>
    <w:p w14:paraId="6008EB1C" w14:textId="28F0AB7D" w:rsidR="00C577F0" w:rsidRDefault="00C577F0" w:rsidP="000169BD">
      <w:pPr>
        <w:rPr>
          <w:rFonts w:asciiTheme="minorHAnsi" w:hAnsiTheme="minorHAnsi"/>
          <w:b/>
          <w:color w:val="003366"/>
          <w:sz w:val="4"/>
          <w:szCs w:val="4"/>
        </w:rPr>
      </w:pPr>
    </w:p>
    <w:p w14:paraId="33EFB4DA" w14:textId="5592F1E6" w:rsidR="00C577F0" w:rsidRDefault="00C577F0" w:rsidP="000169BD">
      <w:pPr>
        <w:rPr>
          <w:rFonts w:asciiTheme="minorHAnsi" w:hAnsiTheme="minorHAnsi"/>
          <w:b/>
          <w:color w:val="003366"/>
          <w:sz w:val="4"/>
          <w:szCs w:val="4"/>
        </w:rPr>
      </w:pPr>
    </w:p>
    <w:p w14:paraId="0156EB83" w14:textId="2C8867D0" w:rsidR="00C577F0" w:rsidRDefault="00C577F0" w:rsidP="000169BD">
      <w:pPr>
        <w:rPr>
          <w:rFonts w:asciiTheme="minorHAnsi" w:hAnsiTheme="minorHAnsi"/>
          <w:b/>
          <w:color w:val="003366"/>
          <w:sz w:val="4"/>
          <w:szCs w:val="4"/>
        </w:rPr>
      </w:pPr>
    </w:p>
    <w:p w14:paraId="0803744D" w14:textId="4E6842FA" w:rsidR="00C577F0" w:rsidRDefault="00C577F0" w:rsidP="000169BD">
      <w:pPr>
        <w:rPr>
          <w:rFonts w:asciiTheme="minorHAnsi" w:hAnsiTheme="minorHAnsi"/>
          <w:b/>
          <w:color w:val="003366"/>
          <w:sz w:val="4"/>
          <w:szCs w:val="4"/>
        </w:rPr>
      </w:pPr>
    </w:p>
    <w:p w14:paraId="10DE3F80" w14:textId="7BDBE7B0" w:rsidR="00C577F0" w:rsidRDefault="00C577F0" w:rsidP="000169BD">
      <w:pPr>
        <w:rPr>
          <w:rFonts w:asciiTheme="minorHAnsi" w:hAnsiTheme="minorHAnsi"/>
          <w:b/>
          <w:color w:val="003366"/>
          <w:sz w:val="4"/>
          <w:szCs w:val="4"/>
        </w:rPr>
      </w:pPr>
    </w:p>
    <w:p w14:paraId="3E543E67" w14:textId="605E6E8F" w:rsidR="00C577F0" w:rsidRDefault="00C577F0" w:rsidP="000169BD">
      <w:pPr>
        <w:rPr>
          <w:rFonts w:asciiTheme="minorHAnsi" w:hAnsiTheme="minorHAnsi"/>
          <w:b/>
          <w:color w:val="003366"/>
          <w:sz w:val="4"/>
          <w:szCs w:val="4"/>
        </w:rPr>
      </w:pPr>
    </w:p>
    <w:p w14:paraId="21C45E9C" w14:textId="0BD78263" w:rsidR="00C577F0" w:rsidRDefault="00C577F0" w:rsidP="000169BD">
      <w:pPr>
        <w:rPr>
          <w:rFonts w:asciiTheme="minorHAnsi" w:hAnsiTheme="minorHAnsi"/>
          <w:b/>
          <w:color w:val="003366"/>
          <w:sz w:val="4"/>
          <w:szCs w:val="4"/>
        </w:rPr>
      </w:pPr>
    </w:p>
    <w:p w14:paraId="65B1B9C6" w14:textId="77777777" w:rsidR="00C577F0" w:rsidRDefault="00C577F0" w:rsidP="000169BD">
      <w:pPr>
        <w:rPr>
          <w:rFonts w:asciiTheme="minorHAnsi" w:hAnsiTheme="minorHAnsi"/>
          <w:b/>
          <w:color w:val="003366"/>
          <w:sz w:val="4"/>
          <w:szCs w:val="4"/>
        </w:rPr>
      </w:pPr>
    </w:p>
    <w:p w14:paraId="1BABE5DA" w14:textId="77777777" w:rsidR="0039450A" w:rsidRPr="00CC2B50" w:rsidRDefault="0039450A" w:rsidP="0039450A">
      <w:pPr>
        <w:rPr>
          <w:rFonts w:cstheme="minorHAnsi"/>
          <w:b/>
          <w:color w:val="E83E02"/>
          <w:sz w:val="16"/>
          <w:szCs w:val="16"/>
        </w:rPr>
      </w:pPr>
      <w:bookmarkStart w:id="3" w:name="_Hlk107995971"/>
    </w:p>
    <w:p w14:paraId="2C9D8A47" w14:textId="77777777" w:rsidR="0039450A" w:rsidRDefault="0039450A" w:rsidP="0039450A">
      <w:pPr>
        <w:rPr>
          <w:rFonts w:cstheme="minorHAnsi"/>
          <w:b/>
          <w:color w:val="E83E02"/>
        </w:rPr>
        <w:sectPr w:rsidR="0039450A" w:rsidSect="00A807D1">
          <w:headerReference w:type="default" r:id="rId16"/>
          <w:footerReference w:type="default" r:id="rId17"/>
          <w:pgSz w:w="12240" w:h="15840"/>
          <w:pgMar w:top="567" w:right="720" w:bottom="567" w:left="720" w:header="567" w:footer="624" w:gutter="0"/>
          <w:cols w:space="708"/>
          <w:docGrid w:linePitch="360"/>
        </w:sectPr>
      </w:pPr>
    </w:p>
    <w:p w14:paraId="16FE7B70" w14:textId="0D244A72" w:rsidR="00796FA7" w:rsidRPr="00F956D0" w:rsidRDefault="00796FA7" w:rsidP="00796FA7">
      <w:pPr>
        <w:jc w:val="center"/>
        <w:rPr>
          <w:rFonts w:asciiTheme="minorHAnsi" w:hAnsiTheme="minorHAnsi" w:cstheme="minorHAnsi"/>
          <w:b/>
          <w:bCs/>
        </w:rPr>
      </w:pPr>
      <w:bookmarkStart w:id="4" w:name="_Hlk108006257"/>
      <w:r w:rsidRPr="00F956D0">
        <w:rPr>
          <w:rFonts w:asciiTheme="minorHAnsi" w:hAnsiTheme="minorHAnsi" w:cstheme="minorHAnsi"/>
          <w:b/>
          <w:bCs/>
        </w:rPr>
        <w:lastRenderedPageBreak/>
        <w:t>Interpretation of Evidence and Recommendation Statements</w:t>
      </w:r>
    </w:p>
    <w:p w14:paraId="4448A2A6" w14:textId="15E64092" w:rsidR="00796FA7" w:rsidRPr="00F956D0" w:rsidRDefault="00796FA7" w:rsidP="00796FA7">
      <w:pPr>
        <w:rPr>
          <w:rFonts w:asciiTheme="minorHAnsi" w:hAnsiTheme="minorHAnsi" w:cstheme="minorHAnsi"/>
          <w:b/>
          <w:bCs/>
          <w:sz w:val="18"/>
          <w:szCs w:val="18"/>
        </w:rPr>
      </w:pPr>
      <w:r w:rsidRPr="00F956D0">
        <w:rPr>
          <w:rFonts w:asciiTheme="minorHAnsi" w:hAnsiTheme="minorHAnsi" w:cstheme="minorHAnsi"/>
          <w:sz w:val="18"/>
          <w:szCs w:val="18"/>
        </w:rPr>
        <w:t>RNAO BPGs are developed using the Grading of Recommendations Assessment, Development and Evaluation (GRADE)G and Confidence in the Evidence from Reviews of Qualitative Research (CERQual)</w:t>
      </w:r>
    </w:p>
    <w:p w14:paraId="32CE9478" w14:textId="3A4F806C" w:rsidR="0039450A" w:rsidRPr="00F956D0" w:rsidRDefault="0039450A" w:rsidP="0039450A">
      <w:pPr>
        <w:rPr>
          <w:rStyle w:val="cf01"/>
          <w:rFonts w:asciiTheme="minorHAnsi" w:hAnsiTheme="minorHAnsi" w:cstheme="minorHAnsi"/>
        </w:rPr>
      </w:pPr>
      <w:r w:rsidRPr="00F956D0">
        <w:rPr>
          <w:rFonts w:asciiTheme="minorHAnsi" w:hAnsiTheme="minorHAnsi" w:cstheme="minorHAnsi"/>
          <w:b/>
          <w:color w:val="E83E02"/>
        </w:rPr>
        <w:t>What does certainty of evidence mean?</w:t>
      </w:r>
      <w:r w:rsidRPr="00F956D0">
        <w:rPr>
          <w:rStyle w:val="cf01"/>
          <w:rFonts w:asciiTheme="minorHAnsi" w:hAnsiTheme="minorHAnsi" w:cstheme="minorHAnsi"/>
        </w:rPr>
        <w:t xml:space="preserve"> </w:t>
      </w:r>
    </w:p>
    <w:p w14:paraId="5ACCDB5C" w14:textId="67CB0956" w:rsidR="0039450A" w:rsidRPr="00EB6BEE" w:rsidRDefault="00485085" w:rsidP="0039450A">
      <w:r w:rsidRPr="00485085">
        <w:rPr>
          <w:sz w:val="20"/>
          <w:szCs w:val="20"/>
        </w:rPr>
        <w:t>The certainty of evidence (i.e., the level of confidence we have that an estimate of effect is true) for quantitative research is determined using GRADE methods</w:t>
      </w:r>
      <w:r w:rsidR="00EB6BEE">
        <w:rPr>
          <w:sz w:val="20"/>
          <w:szCs w:val="20"/>
        </w:rPr>
        <w:t xml:space="preserve">. </w:t>
      </w:r>
      <w:r w:rsidR="00EB6BEE" w:rsidRPr="00EB6BEE">
        <w:rPr>
          <w:sz w:val="20"/>
          <w:szCs w:val="20"/>
        </w:rPr>
        <w:t>GRADE categorizes the overall certainty of evidence as high, moderate, low or very low (</w:t>
      </w:r>
    </w:p>
    <w:tbl>
      <w:tblPr>
        <w:tblStyle w:val="TableGrid"/>
        <w:tblpPr w:leftFromText="180" w:rightFromText="180" w:vertAnchor="text" w:tblpY="1"/>
        <w:tblOverlap w:val="never"/>
        <w:tblW w:w="9351" w:type="dxa"/>
        <w:tblLook w:val="04A0" w:firstRow="1" w:lastRow="0" w:firstColumn="1" w:lastColumn="0" w:noHBand="0" w:noVBand="1"/>
      </w:tblPr>
      <w:tblGrid>
        <w:gridCol w:w="1229"/>
        <w:gridCol w:w="8122"/>
      </w:tblGrid>
      <w:tr w:rsidR="0039450A" w:rsidRPr="007A32D4" w14:paraId="2277C4ED" w14:textId="77777777" w:rsidTr="00F956D0">
        <w:trPr>
          <w:trHeight w:val="568"/>
        </w:trPr>
        <w:tc>
          <w:tcPr>
            <w:tcW w:w="1229" w:type="dxa"/>
          </w:tcPr>
          <w:p w14:paraId="00083B8E" w14:textId="305C32D3" w:rsidR="0039450A" w:rsidRPr="007A32D4" w:rsidRDefault="0039450A" w:rsidP="00EB6BEE">
            <w:pPr>
              <w:pStyle w:val="NoSpacing"/>
              <w:rPr>
                <w:rFonts w:cstheme="minorHAnsi"/>
                <w:b/>
                <w:sz w:val="21"/>
                <w:szCs w:val="21"/>
              </w:rPr>
            </w:pPr>
            <w:r w:rsidRPr="007A32D4">
              <w:rPr>
                <w:rFonts w:cstheme="minorHAnsi"/>
                <w:b/>
                <w:sz w:val="21"/>
                <w:szCs w:val="21"/>
              </w:rPr>
              <w:t>HIGH</w:t>
            </w:r>
          </w:p>
        </w:tc>
        <w:tc>
          <w:tcPr>
            <w:tcW w:w="8122" w:type="dxa"/>
          </w:tcPr>
          <w:p w14:paraId="56E175F9" w14:textId="77777777" w:rsidR="0039450A" w:rsidRPr="00F956D0" w:rsidRDefault="0039450A" w:rsidP="00EB6BEE">
            <w:pPr>
              <w:pStyle w:val="NoSpacing"/>
              <w:rPr>
                <w:rFonts w:cstheme="minorHAnsi"/>
                <w:sz w:val="20"/>
                <w:szCs w:val="20"/>
              </w:rPr>
            </w:pPr>
            <w:r w:rsidRPr="00F956D0">
              <w:rPr>
                <w:rFonts w:cstheme="minorHAnsi"/>
                <w:sz w:val="20"/>
                <w:szCs w:val="20"/>
              </w:rPr>
              <w:t>We are very confident that the true effect lies close to that of the estimate of the effect.</w:t>
            </w:r>
          </w:p>
        </w:tc>
      </w:tr>
      <w:tr w:rsidR="0039450A" w:rsidRPr="007A32D4" w14:paraId="0DFD6189" w14:textId="77777777" w:rsidTr="00F956D0">
        <w:trPr>
          <w:trHeight w:val="752"/>
        </w:trPr>
        <w:tc>
          <w:tcPr>
            <w:tcW w:w="1229" w:type="dxa"/>
          </w:tcPr>
          <w:p w14:paraId="67CA75B0" w14:textId="04375F9D" w:rsidR="0039450A" w:rsidRPr="007A32D4" w:rsidRDefault="00796FA7" w:rsidP="00EB6BEE">
            <w:pPr>
              <w:pStyle w:val="NoSpacing"/>
              <w:rPr>
                <w:rFonts w:cstheme="minorHAnsi"/>
                <w:b/>
                <w:sz w:val="21"/>
                <w:szCs w:val="21"/>
              </w:rPr>
            </w:pPr>
            <w:r>
              <w:rPr>
                <w:rFonts w:cstheme="minorHAnsi"/>
                <w:b/>
                <w:sz w:val="21"/>
                <w:szCs w:val="21"/>
              </w:rPr>
              <w:t xml:space="preserve">  </w:t>
            </w:r>
            <w:r w:rsidR="0039450A" w:rsidRPr="007A32D4">
              <w:rPr>
                <w:rFonts w:cstheme="minorHAnsi"/>
                <w:b/>
                <w:sz w:val="21"/>
                <w:szCs w:val="21"/>
              </w:rPr>
              <w:t>MODERATE</w:t>
            </w:r>
          </w:p>
        </w:tc>
        <w:tc>
          <w:tcPr>
            <w:tcW w:w="8122" w:type="dxa"/>
          </w:tcPr>
          <w:p w14:paraId="5D11C69D" w14:textId="77777777" w:rsidR="0039450A" w:rsidRPr="00F956D0" w:rsidRDefault="0039450A" w:rsidP="00EB6BEE">
            <w:pPr>
              <w:pStyle w:val="NoSpacing"/>
              <w:rPr>
                <w:rFonts w:cstheme="minorHAnsi"/>
                <w:b/>
                <w:sz w:val="20"/>
                <w:szCs w:val="20"/>
              </w:rPr>
            </w:pPr>
            <w:r w:rsidRPr="00F956D0">
              <w:rPr>
                <w:rFonts w:cstheme="minorHAnsi"/>
                <w:sz w:val="20"/>
                <w:szCs w:val="20"/>
              </w:rPr>
              <w:t>We are moderately confident in the effect estimate: the true effect is likely to be close to the estimate of the effect, but there is a possibility that it is substantially different.</w:t>
            </w:r>
          </w:p>
        </w:tc>
      </w:tr>
      <w:tr w:rsidR="0039450A" w:rsidRPr="007A32D4" w14:paraId="3998C877" w14:textId="77777777" w:rsidTr="00F956D0">
        <w:trPr>
          <w:trHeight w:val="568"/>
        </w:trPr>
        <w:tc>
          <w:tcPr>
            <w:tcW w:w="1229" w:type="dxa"/>
          </w:tcPr>
          <w:p w14:paraId="4C9378D8" w14:textId="77777777" w:rsidR="0039450A" w:rsidRPr="007A32D4" w:rsidRDefault="0039450A" w:rsidP="00EB6BEE">
            <w:pPr>
              <w:pStyle w:val="NoSpacing"/>
              <w:rPr>
                <w:rFonts w:cstheme="minorHAnsi"/>
                <w:b/>
                <w:sz w:val="21"/>
                <w:szCs w:val="21"/>
              </w:rPr>
            </w:pPr>
            <w:r w:rsidRPr="007A32D4">
              <w:rPr>
                <w:rFonts w:cstheme="minorHAnsi"/>
                <w:b/>
                <w:sz w:val="21"/>
                <w:szCs w:val="21"/>
              </w:rPr>
              <w:t>LOW</w:t>
            </w:r>
          </w:p>
        </w:tc>
        <w:tc>
          <w:tcPr>
            <w:tcW w:w="8122" w:type="dxa"/>
          </w:tcPr>
          <w:p w14:paraId="508FD986" w14:textId="77777777" w:rsidR="0039450A" w:rsidRPr="00F956D0" w:rsidRDefault="0039450A" w:rsidP="00EB6BEE">
            <w:pPr>
              <w:pStyle w:val="NoSpacing"/>
              <w:rPr>
                <w:rFonts w:cstheme="minorHAnsi"/>
                <w:b/>
                <w:sz w:val="20"/>
                <w:szCs w:val="20"/>
              </w:rPr>
            </w:pPr>
            <w:r w:rsidRPr="00F956D0">
              <w:rPr>
                <w:rFonts w:cstheme="minorHAnsi"/>
                <w:sz w:val="20"/>
                <w:szCs w:val="20"/>
              </w:rPr>
              <w:t>Our confidence in the effect estimate is limited: the true effect may be substantially different from the estimate of the effect.</w:t>
            </w:r>
          </w:p>
        </w:tc>
      </w:tr>
      <w:tr w:rsidR="0039450A" w:rsidRPr="007A32D4" w14:paraId="7D4DF7A1" w14:textId="77777777" w:rsidTr="00F956D0">
        <w:trPr>
          <w:trHeight w:val="568"/>
        </w:trPr>
        <w:tc>
          <w:tcPr>
            <w:tcW w:w="1229" w:type="dxa"/>
          </w:tcPr>
          <w:p w14:paraId="354F4E74" w14:textId="77777777" w:rsidR="0039450A" w:rsidRPr="007A32D4" w:rsidRDefault="0039450A" w:rsidP="00EB6BEE">
            <w:pPr>
              <w:pStyle w:val="NoSpacing"/>
              <w:rPr>
                <w:rFonts w:cstheme="minorHAnsi"/>
                <w:b/>
                <w:sz w:val="21"/>
                <w:szCs w:val="21"/>
              </w:rPr>
            </w:pPr>
            <w:r w:rsidRPr="007A32D4">
              <w:rPr>
                <w:rFonts w:cstheme="minorHAnsi"/>
                <w:b/>
                <w:sz w:val="21"/>
                <w:szCs w:val="21"/>
              </w:rPr>
              <w:t>VERY</w:t>
            </w:r>
          </w:p>
          <w:p w14:paraId="3E818E15" w14:textId="77777777" w:rsidR="0039450A" w:rsidRPr="007A32D4" w:rsidRDefault="0039450A" w:rsidP="00EB6BEE">
            <w:pPr>
              <w:pStyle w:val="NoSpacing"/>
              <w:rPr>
                <w:rFonts w:cstheme="minorHAnsi"/>
                <w:b/>
                <w:sz w:val="21"/>
                <w:szCs w:val="21"/>
              </w:rPr>
            </w:pPr>
            <w:r w:rsidRPr="007A32D4">
              <w:rPr>
                <w:rFonts w:cstheme="minorHAnsi"/>
                <w:b/>
                <w:sz w:val="21"/>
                <w:szCs w:val="21"/>
              </w:rPr>
              <w:t>LOW</w:t>
            </w:r>
          </w:p>
        </w:tc>
        <w:tc>
          <w:tcPr>
            <w:tcW w:w="8122" w:type="dxa"/>
          </w:tcPr>
          <w:p w14:paraId="0B34A295" w14:textId="77777777" w:rsidR="0039450A" w:rsidRPr="00F956D0" w:rsidRDefault="0039450A" w:rsidP="00EB6BEE">
            <w:pPr>
              <w:pStyle w:val="NoSpacing"/>
              <w:rPr>
                <w:rFonts w:cstheme="minorHAnsi"/>
                <w:sz w:val="20"/>
                <w:szCs w:val="20"/>
              </w:rPr>
            </w:pPr>
            <w:r w:rsidRPr="00F956D0">
              <w:rPr>
                <w:rFonts w:cstheme="minorHAnsi"/>
                <w:sz w:val="20"/>
                <w:szCs w:val="20"/>
              </w:rPr>
              <w:t>We have very little confidence in the effect estimate: the true effect is likely to be substantially different from it’s estimate.</w:t>
            </w:r>
          </w:p>
        </w:tc>
      </w:tr>
    </w:tbl>
    <w:bookmarkEnd w:id="4"/>
    <w:p w14:paraId="360CBA6E" w14:textId="2E36A127" w:rsidR="0039450A" w:rsidRPr="00F956D0" w:rsidRDefault="00EB6BEE" w:rsidP="00EB6BEE">
      <w:pPr>
        <w:rPr>
          <w:rFonts w:asciiTheme="minorHAnsi" w:hAnsiTheme="minorHAnsi" w:cstheme="minorHAnsi"/>
          <w:b/>
        </w:rPr>
      </w:pPr>
      <w:r>
        <w:rPr>
          <w:rFonts w:cstheme="minorHAnsi"/>
          <w:b/>
          <w:color w:val="E83E02"/>
        </w:rPr>
        <w:br w:type="textWrapping" w:clear="all"/>
      </w:r>
      <w:r w:rsidR="0039450A" w:rsidRPr="00F956D0">
        <w:rPr>
          <w:rFonts w:asciiTheme="minorHAnsi" w:hAnsiTheme="minorHAnsi" w:cstheme="minorHAnsi"/>
          <w:b/>
          <w:color w:val="E83E02"/>
        </w:rPr>
        <w:t>What does confidence of evidence mean</w:t>
      </w:r>
      <w:r w:rsidRPr="00F956D0">
        <w:rPr>
          <w:rFonts w:asciiTheme="minorHAnsi" w:hAnsiTheme="minorHAnsi" w:cstheme="minorHAnsi"/>
          <w:b/>
          <w:color w:val="E83E02"/>
        </w:rPr>
        <w:t>?</w:t>
      </w:r>
    </w:p>
    <w:p w14:paraId="793D817E" w14:textId="74FDE285" w:rsidR="00EB6BEE" w:rsidRPr="00EB6BEE" w:rsidRDefault="00EB6BEE" w:rsidP="0039450A">
      <w:pPr>
        <w:pStyle w:val="NoSpacing"/>
        <w:rPr>
          <w:rFonts w:ascii="Times New Roman" w:eastAsia="Times New Roman" w:hAnsi="Times New Roman" w:cs="Times New Roman"/>
          <w:sz w:val="20"/>
          <w:szCs w:val="20"/>
          <w:lang w:val="en-US"/>
        </w:rPr>
      </w:pPr>
      <w:r w:rsidRPr="00EB6BEE">
        <w:rPr>
          <w:rFonts w:ascii="Times New Roman" w:eastAsia="Times New Roman" w:hAnsi="Times New Roman" w:cs="Times New Roman"/>
          <w:sz w:val="20"/>
          <w:szCs w:val="20"/>
          <w:lang w:val="en-US"/>
        </w:rPr>
        <w:t>The confidence in evidence for qualitative research (i.e., the extent to which the review finding is a reasonable representation of the phenomenon of interest) is determined using GRADE-CERQual methods</w:t>
      </w:r>
    </w:p>
    <w:p w14:paraId="2158D73E" w14:textId="77777777" w:rsidR="0039450A" w:rsidRPr="007A32D4" w:rsidRDefault="0039450A" w:rsidP="0039450A">
      <w:pPr>
        <w:pStyle w:val="NoSpacing"/>
        <w:rPr>
          <w:rFonts w:cstheme="minorHAnsi"/>
          <w:sz w:val="21"/>
          <w:szCs w:val="21"/>
          <w:lang w:eastAsia="en-CA"/>
        </w:rPr>
      </w:pPr>
    </w:p>
    <w:bookmarkEnd w:id="3"/>
    <w:tbl>
      <w:tblPr>
        <w:tblStyle w:val="TableGrid"/>
        <w:tblW w:w="9351" w:type="dxa"/>
        <w:tblLook w:val="04A0" w:firstRow="1" w:lastRow="0" w:firstColumn="1" w:lastColumn="0" w:noHBand="0" w:noVBand="1"/>
      </w:tblPr>
      <w:tblGrid>
        <w:gridCol w:w="1229"/>
        <w:gridCol w:w="8122"/>
      </w:tblGrid>
      <w:tr w:rsidR="00EB6BEE" w:rsidRPr="007A32D4" w14:paraId="71ACC551" w14:textId="77777777" w:rsidTr="00F956D0">
        <w:trPr>
          <w:trHeight w:val="872"/>
        </w:trPr>
        <w:tc>
          <w:tcPr>
            <w:tcW w:w="1229" w:type="dxa"/>
          </w:tcPr>
          <w:p w14:paraId="317AB98B" w14:textId="77777777" w:rsidR="00EB6BEE" w:rsidRPr="007A32D4" w:rsidRDefault="00EB6BEE" w:rsidP="00D6551F">
            <w:pPr>
              <w:pStyle w:val="NoSpacing"/>
              <w:rPr>
                <w:rFonts w:cstheme="minorHAnsi"/>
                <w:b/>
                <w:sz w:val="21"/>
                <w:szCs w:val="21"/>
              </w:rPr>
            </w:pPr>
            <w:r w:rsidRPr="007A32D4">
              <w:rPr>
                <w:rFonts w:ascii="Times New Roman" w:eastAsia="Times New Roman" w:hAnsi="Times New Roman"/>
                <w:sz w:val="21"/>
                <w:szCs w:val="21"/>
                <w:lang w:val="en-US"/>
              </w:rPr>
              <w:br w:type="page"/>
            </w:r>
            <w:r w:rsidRPr="007A32D4">
              <w:rPr>
                <w:rFonts w:cstheme="minorHAnsi"/>
                <w:b/>
                <w:sz w:val="21"/>
                <w:szCs w:val="21"/>
              </w:rPr>
              <w:t>HIGH</w:t>
            </w:r>
          </w:p>
        </w:tc>
        <w:tc>
          <w:tcPr>
            <w:tcW w:w="8122" w:type="dxa"/>
          </w:tcPr>
          <w:p w14:paraId="4C2CE728" w14:textId="77777777" w:rsidR="00EB6BEE" w:rsidRPr="00F956D0" w:rsidRDefault="00EB6BEE" w:rsidP="00D6551F">
            <w:pPr>
              <w:pStyle w:val="NoSpacing"/>
              <w:rPr>
                <w:rFonts w:cstheme="minorHAnsi"/>
                <w:sz w:val="20"/>
                <w:szCs w:val="20"/>
              </w:rPr>
            </w:pPr>
            <w:r w:rsidRPr="00F956D0">
              <w:rPr>
                <w:rFonts w:cstheme="minorHAnsi"/>
                <w:sz w:val="20"/>
                <w:szCs w:val="20"/>
              </w:rPr>
              <w:t>It is highly likely that the finding is a reasonable representation of the phenomenon of interest.</w:t>
            </w:r>
          </w:p>
        </w:tc>
      </w:tr>
      <w:tr w:rsidR="00EB6BEE" w:rsidRPr="007A32D4" w14:paraId="583C69BA" w14:textId="77777777" w:rsidTr="00F956D0">
        <w:trPr>
          <w:trHeight w:val="818"/>
        </w:trPr>
        <w:tc>
          <w:tcPr>
            <w:tcW w:w="1229" w:type="dxa"/>
          </w:tcPr>
          <w:p w14:paraId="0C1AA1D3" w14:textId="77777777" w:rsidR="00EB6BEE" w:rsidRPr="007A32D4" w:rsidRDefault="00EB6BEE" w:rsidP="00D6551F">
            <w:pPr>
              <w:pStyle w:val="NoSpacing"/>
              <w:rPr>
                <w:rFonts w:cstheme="minorHAnsi"/>
                <w:b/>
                <w:sz w:val="21"/>
                <w:szCs w:val="21"/>
              </w:rPr>
            </w:pPr>
            <w:r w:rsidRPr="007A32D4">
              <w:rPr>
                <w:rFonts w:cstheme="minorHAnsi"/>
                <w:b/>
                <w:sz w:val="21"/>
                <w:szCs w:val="21"/>
              </w:rPr>
              <w:t>MODERATE</w:t>
            </w:r>
          </w:p>
        </w:tc>
        <w:tc>
          <w:tcPr>
            <w:tcW w:w="8122" w:type="dxa"/>
          </w:tcPr>
          <w:p w14:paraId="74BED69E" w14:textId="77777777" w:rsidR="00EB6BEE" w:rsidRPr="00F956D0" w:rsidRDefault="00EB6BEE" w:rsidP="00D6551F">
            <w:pPr>
              <w:pStyle w:val="NoSpacing"/>
              <w:rPr>
                <w:rFonts w:cstheme="minorHAnsi"/>
                <w:sz w:val="20"/>
                <w:szCs w:val="20"/>
              </w:rPr>
            </w:pPr>
            <w:r w:rsidRPr="00F956D0">
              <w:rPr>
                <w:rFonts w:cstheme="minorHAnsi"/>
                <w:sz w:val="20"/>
                <w:szCs w:val="20"/>
              </w:rPr>
              <w:t>It is likely that the finding is a reasonable representation of the phenomenon of interest</w:t>
            </w:r>
          </w:p>
        </w:tc>
      </w:tr>
      <w:tr w:rsidR="00EB6BEE" w:rsidRPr="007A32D4" w14:paraId="3572A452" w14:textId="77777777" w:rsidTr="00F956D0">
        <w:trPr>
          <w:trHeight w:val="782"/>
        </w:trPr>
        <w:tc>
          <w:tcPr>
            <w:tcW w:w="1229" w:type="dxa"/>
          </w:tcPr>
          <w:p w14:paraId="20B0E801" w14:textId="77777777" w:rsidR="00EB6BEE" w:rsidRPr="007A32D4" w:rsidRDefault="00EB6BEE" w:rsidP="00D6551F">
            <w:pPr>
              <w:pStyle w:val="NoSpacing"/>
              <w:rPr>
                <w:rFonts w:cstheme="minorHAnsi"/>
                <w:b/>
                <w:sz w:val="21"/>
                <w:szCs w:val="21"/>
              </w:rPr>
            </w:pPr>
            <w:r w:rsidRPr="007A32D4">
              <w:rPr>
                <w:rFonts w:cstheme="minorHAnsi"/>
                <w:b/>
                <w:sz w:val="21"/>
                <w:szCs w:val="21"/>
              </w:rPr>
              <w:t>LOW</w:t>
            </w:r>
          </w:p>
        </w:tc>
        <w:tc>
          <w:tcPr>
            <w:tcW w:w="8122" w:type="dxa"/>
          </w:tcPr>
          <w:p w14:paraId="3DC12343" w14:textId="77777777" w:rsidR="00EB6BEE" w:rsidRPr="00F956D0" w:rsidRDefault="00EB6BEE" w:rsidP="00D6551F">
            <w:pPr>
              <w:pStyle w:val="NoSpacing"/>
              <w:rPr>
                <w:rFonts w:cstheme="minorHAnsi"/>
                <w:sz w:val="20"/>
                <w:szCs w:val="20"/>
              </w:rPr>
            </w:pPr>
            <w:r w:rsidRPr="00F956D0">
              <w:rPr>
                <w:rFonts w:cstheme="minorHAnsi"/>
                <w:sz w:val="20"/>
                <w:szCs w:val="20"/>
              </w:rPr>
              <w:t>It is possible that the review finding is a reasonable representation of the phenomenon of interest.</w:t>
            </w:r>
          </w:p>
        </w:tc>
      </w:tr>
      <w:tr w:rsidR="00EB6BEE" w:rsidRPr="007A32D4" w14:paraId="54BB2445" w14:textId="77777777" w:rsidTr="00F956D0">
        <w:trPr>
          <w:trHeight w:val="890"/>
        </w:trPr>
        <w:tc>
          <w:tcPr>
            <w:tcW w:w="1229" w:type="dxa"/>
          </w:tcPr>
          <w:p w14:paraId="0A16B59C" w14:textId="77777777" w:rsidR="00EB6BEE" w:rsidRPr="007A32D4" w:rsidRDefault="00EB6BEE" w:rsidP="00D6551F">
            <w:pPr>
              <w:pStyle w:val="NoSpacing"/>
              <w:rPr>
                <w:rFonts w:cstheme="minorHAnsi"/>
                <w:b/>
                <w:sz w:val="21"/>
                <w:szCs w:val="21"/>
              </w:rPr>
            </w:pPr>
            <w:r w:rsidRPr="007A32D4">
              <w:rPr>
                <w:rFonts w:cstheme="minorHAnsi"/>
                <w:b/>
                <w:sz w:val="21"/>
                <w:szCs w:val="21"/>
              </w:rPr>
              <w:t>VERY</w:t>
            </w:r>
          </w:p>
          <w:p w14:paraId="2441D0A7" w14:textId="77777777" w:rsidR="00EB6BEE" w:rsidRPr="007A32D4" w:rsidRDefault="00EB6BEE" w:rsidP="00D6551F">
            <w:pPr>
              <w:pStyle w:val="NoSpacing"/>
              <w:rPr>
                <w:rFonts w:cstheme="minorHAnsi"/>
                <w:b/>
                <w:sz w:val="21"/>
                <w:szCs w:val="21"/>
              </w:rPr>
            </w:pPr>
            <w:r w:rsidRPr="007A32D4">
              <w:rPr>
                <w:rFonts w:cstheme="minorHAnsi"/>
                <w:b/>
                <w:sz w:val="21"/>
                <w:szCs w:val="21"/>
              </w:rPr>
              <w:t>LOW</w:t>
            </w:r>
          </w:p>
        </w:tc>
        <w:tc>
          <w:tcPr>
            <w:tcW w:w="8122" w:type="dxa"/>
          </w:tcPr>
          <w:p w14:paraId="0BEE6C3D" w14:textId="77777777" w:rsidR="00EB6BEE" w:rsidRPr="00F956D0" w:rsidRDefault="00EB6BEE" w:rsidP="00D6551F">
            <w:pPr>
              <w:pStyle w:val="NoSpacing"/>
              <w:rPr>
                <w:rFonts w:cstheme="minorHAnsi"/>
                <w:sz w:val="20"/>
                <w:szCs w:val="20"/>
              </w:rPr>
            </w:pPr>
            <w:r w:rsidRPr="00F956D0">
              <w:rPr>
                <w:rFonts w:cstheme="minorHAnsi"/>
                <w:sz w:val="20"/>
                <w:szCs w:val="20"/>
              </w:rPr>
              <w:t>It is not clear whether the review finding is a reasonable representation of the phenomenon of interest</w:t>
            </w:r>
          </w:p>
        </w:tc>
      </w:tr>
    </w:tbl>
    <w:p w14:paraId="444CC260" w14:textId="77777777" w:rsidR="000169BD" w:rsidRDefault="000169BD">
      <w:pPr>
        <w:rPr>
          <w:rFonts w:asciiTheme="minorHAnsi" w:hAnsiTheme="minorHAnsi"/>
          <w:b/>
          <w:color w:val="003366"/>
          <w:sz w:val="18"/>
          <w:szCs w:val="4"/>
        </w:rPr>
      </w:pPr>
    </w:p>
    <w:p w14:paraId="4FC9B344" w14:textId="1B9FE5C9" w:rsidR="000169BD" w:rsidRDefault="000169BD" w:rsidP="00160EE4">
      <w:pPr>
        <w:jc w:val="center"/>
        <w:rPr>
          <w:rFonts w:asciiTheme="minorHAnsi" w:hAnsiTheme="minorHAnsi"/>
          <w:b/>
          <w:color w:val="003366"/>
          <w:sz w:val="18"/>
          <w:szCs w:val="4"/>
        </w:rPr>
      </w:pPr>
    </w:p>
    <w:p w14:paraId="4AE9365F" w14:textId="77777777" w:rsidR="00C577F0" w:rsidRPr="00F956D0" w:rsidRDefault="00C577F0" w:rsidP="00C577F0">
      <w:pPr>
        <w:rPr>
          <w:rStyle w:val="cf11"/>
          <w:rFonts w:asciiTheme="minorHAnsi" w:hAnsiTheme="minorHAnsi" w:cstheme="minorHAnsi"/>
          <w:sz w:val="20"/>
          <w:szCs w:val="20"/>
        </w:rPr>
      </w:pPr>
      <w:r w:rsidRPr="00F956D0">
        <w:rPr>
          <w:rFonts w:asciiTheme="minorHAnsi" w:hAnsiTheme="minorHAnsi" w:cstheme="minorHAnsi"/>
          <w:b/>
          <w:color w:val="E83E02"/>
          <w:sz w:val="20"/>
          <w:szCs w:val="20"/>
        </w:rPr>
        <w:t>Good practice statement:</w:t>
      </w:r>
      <w:r w:rsidRPr="00F956D0">
        <w:rPr>
          <w:rStyle w:val="cf01"/>
          <w:rFonts w:asciiTheme="minorHAnsi" w:hAnsiTheme="minorHAnsi" w:cstheme="minorHAnsi"/>
          <w:sz w:val="20"/>
          <w:szCs w:val="20"/>
        </w:rPr>
        <w:t xml:space="preserve"> </w:t>
      </w:r>
      <w:r w:rsidRPr="00F956D0">
        <w:rPr>
          <w:rFonts w:asciiTheme="minorHAnsi" w:hAnsiTheme="minorHAnsi" w:cstheme="minorHAnsi"/>
          <w:sz w:val="20"/>
          <w:szCs w:val="20"/>
        </w:rPr>
        <w:t>Refers to a practice already accepted as beneficial or practical advice</w:t>
      </w:r>
      <w:r w:rsidRPr="00F956D0">
        <w:rPr>
          <w:rStyle w:val="cf11"/>
          <w:rFonts w:asciiTheme="minorHAnsi" w:hAnsiTheme="minorHAnsi" w:cstheme="minorHAnsi"/>
          <w:sz w:val="20"/>
          <w:szCs w:val="20"/>
        </w:rPr>
        <w:t>. The recommended practice is believed to be so beneficial, that conducting a systematic review is unreasonable. These recommendations are not based on a systematic review and do not receive a rating of the quality of evidence or strength of the recommendation.</w:t>
      </w:r>
    </w:p>
    <w:p w14:paraId="6FD7B4B9" w14:textId="77777777" w:rsidR="00C577F0" w:rsidRPr="00F956D0" w:rsidRDefault="00C577F0" w:rsidP="00C577F0">
      <w:pPr>
        <w:rPr>
          <w:rStyle w:val="cf11"/>
          <w:rFonts w:asciiTheme="minorHAnsi" w:hAnsiTheme="minorHAnsi" w:cstheme="minorHAnsi"/>
          <w:sz w:val="20"/>
          <w:szCs w:val="20"/>
        </w:rPr>
      </w:pPr>
    </w:p>
    <w:p w14:paraId="413D11B9" w14:textId="77777777" w:rsidR="00C577F0" w:rsidRPr="00F956D0" w:rsidRDefault="00C577F0" w:rsidP="00C577F0">
      <w:pPr>
        <w:rPr>
          <w:rFonts w:asciiTheme="minorHAnsi" w:hAnsiTheme="minorHAnsi" w:cstheme="minorHAnsi"/>
          <w:b/>
          <w:color w:val="E83E02"/>
          <w:sz w:val="20"/>
          <w:szCs w:val="20"/>
        </w:rPr>
      </w:pPr>
      <w:r w:rsidRPr="00F956D0">
        <w:rPr>
          <w:rFonts w:asciiTheme="minorHAnsi" w:hAnsiTheme="minorHAnsi" w:cstheme="minorHAnsi"/>
          <w:b/>
          <w:color w:val="E83E02"/>
          <w:sz w:val="20"/>
          <w:szCs w:val="20"/>
        </w:rPr>
        <w:t>Recommendation:</w:t>
      </w:r>
      <w:r w:rsidRPr="00F956D0">
        <w:rPr>
          <w:rFonts w:asciiTheme="minorHAnsi" w:hAnsiTheme="minorHAnsi" w:cstheme="minorHAnsi"/>
          <w:sz w:val="20"/>
          <w:szCs w:val="20"/>
        </w:rPr>
        <w:t xml:space="preserve"> A course of action(s) that directly answers a recommendation question. It is based on a systematic review of the literature and is made in consideration of its: (a) benefits and harms; (b) values and preferences; and (c) health equity. All recommendations are given a strength through panel consensus. </w:t>
      </w:r>
    </w:p>
    <w:p w14:paraId="5EDDAB11" w14:textId="77777777" w:rsidR="00C577F0" w:rsidRPr="00F956D0" w:rsidRDefault="00C577F0" w:rsidP="00C577F0">
      <w:pPr>
        <w:rPr>
          <w:rFonts w:asciiTheme="minorHAnsi" w:hAnsiTheme="minorHAnsi" w:cstheme="minorHAnsi"/>
          <w:b/>
          <w:color w:val="E83E02"/>
          <w:sz w:val="20"/>
          <w:szCs w:val="20"/>
        </w:rPr>
      </w:pPr>
    </w:p>
    <w:p w14:paraId="78F8823D" w14:textId="77777777" w:rsidR="00C577F0" w:rsidRPr="00F956D0" w:rsidRDefault="00C577F0" w:rsidP="00C577F0">
      <w:pPr>
        <w:rPr>
          <w:rStyle w:val="cf11"/>
          <w:rFonts w:asciiTheme="minorHAnsi" w:hAnsiTheme="minorHAnsi" w:cstheme="minorHAnsi"/>
          <w:sz w:val="20"/>
          <w:szCs w:val="20"/>
        </w:rPr>
      </w:pPr>
      <w:r w:rsidRPr="00F956D0">
        <w:rPr>
          <w:rFonts w:asciiTheme="minorHAnsi" w:hAnsiTheme="minorHAnsi" w:cstheme="minorHAnsi"/>
          <w:b/>
          <w:color w:val="E83E02"/>
          <w:sz w:val="20"/>
          <w:szCs w:val="20"/>
        </w:rPr>
        <w:t>Adopted recommendation:</w:t>
      </w:r>
      <w:r w:rsidRPr="00F956D0">
        <w:rPr>
          <w:rStyle w:val="cf01"/>
          <w:rFonts w:asciiTheme="minorHAnsi" w:hAnsiTheme="minorHAnsi" w:cstheme="minorHAnsi"/>
          <w:sz w:val="20"/>
          <w:szCs w:val="20"/>
        </w:rPr>
        <w:t xml:space="preserve"> </w:t>
      </w:r>
      <w:r w:rsidRPr="00F956D0">
        <w:rPr>
          <w:rFonts w:asciiTheme="minorHAnsi" w:hAnsiTheme="minorHAnsi" w:cstheme="minorHAnsi"/>
          <w:sz w:val="20"/>
          <w:szCs w:val="20"/>
        </w:rPr>
        <w:t>This entails using an existing, trustworthy recommendation without changes to the original recommendation. The expert panel agrees with the judgments made by the original guideline developer.</w:t>
      </w:r>
      <w:r w:rsidRPr="00F956D0">
        <w:rPr>
          <w:rStyle w:val="cf11"/>
          <w:rFonts w:asciiTheme="minorHAnsi" w:hAnsiTheme="minorHAnsi" w:cstheme="minorHAnsi"/>
          <w:sz w:val="20"/>
          <w:szCs w:val="20"/>
        </w:rPr>
        <w:br/>
      </w:r>
    </w:p>
    <w:p w14:paraId="70A960E8" w14:textId="75923118" w:rsidR="00C577F0" w:rsidRDefault="00C577F0" w:rsidP="00C577F0">
      <w:pPr>
        <w:rPr>
          <w:rFonts w:asciiTheme="minorHAnsi" w:hAnsiTheme="minorHAnsi" w:cstheme="minorHAnsi"/>
          <w:sz w:val="20"/>
          <w:szCs w:val="20"/>
        </w:rPr>
      </w:pPr>
      <w:r w:rsidRPr="00F956D0">
        <w:rPr>
          <w:rFonts w:asciiTheme="minorHAnsi" w:hAnsiTheme="minorHAnsi" w:cstheme="minorHAnsi"/>
          <w:b/>
          <w:color w:val="E83E02"/>
          <w:sz w:val="20"/>
          <w:szCs w:val="20"/>
        </w:rPr>
        <w:t>Outcomes:</w:t>
      </w:r>
      <w:r w:rsidRPr="00F956D0">
        <w:rPr>
          <w:rStyle w:val="cf01"/>
          <w:rFonts w:asciiTheme="minorHAnsi" w:hAnsiTheme="minorHAnsi" w:cstheme="minorHAnsi"/>
          <w:sz w:val="20"/>
          <w:szCs w:val="20"/>
        </w:rPr>
        <w:t xml:space="preserve"> </w:t>
      </w:r>
      <w:r w:rsidRPr="00F956D0">
        <w:rPr>
          <w:rFonts w:asciiTheme="minorHAnsi" w:hAnsiTheme="minorHAnsi" w:cstheme="minorHAnsi"/>
          <w:sz w:val="20"/>
          <w:szCs w:val="20"/>
        </w:rPr>
        <w:t xml:space="preserve">A dependent variable, or the clinical and/or functional status of a patient or population, that is used to assess if an intervention is successful. </w:t>
      </w:r>
    </w:p>
    <w:p w14:paraId="4517DE7B" w14:textId="3FBEE3F5" w:rsidR="0039450A" w:rsidRDefault="0039450A" w:rsidP="00160EE4">
      <w:pPr>
        <w:jc w:val="center"/>
        <w:rPr>
          <w:rFonts w:asciiTheme="minorHAnsi" w:hAnsiTheme="minorHAnsi"/>
          <w:b/>
          <w:color w:val="003366"/>
          <w:sz w:val="18"/>
          <w:szCs w:val="4"/>
        </w:rPr>
      </w:pPr>
    </w:p>
    <w:p w14:paraId="193C0E97" w14:textId="30086F81" w:rsidR="0039450A" w:rsidRDefault="0039450A" w:rsidP="00160EE4">
      <w:pPr>
        <w:jc w:val="center"/>
        <w:rPr>
          <w:rFonts w:asciiTheme="minorHAnsi" w:hAnsiTheme="minorHAnsi"/>
          <w:b/>
          <w:color w:val="003366"/>
          <w:sz w:val="18"/>
          <w:szCs w:val="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
        <w:gridCol w:w="1890"/>
        <w:gridCol w:w="2970"/>
        <w:gridCol w:w="270"/>
        <w:gridCol w:w="4518"/>
      </w:tblGrid>
      <w:tr w:rsidR="00995B62" w:rsidRPr="000169BD" w14:paraId="10FB5BDA" w14:textId="77777777" w:rsidTr="00B9727C">
        <w:trPr>
          <w:jc w:val="center"/>
        </w:trPr>
        <w:tc>
          <w:tcPr>
            <w:tcW w:w="2160" w:type="dxa"/>
            <w:gridSpan w:val="2"/>
            <w:shd w:val="clear" w:color="auto" w:fill="B6DDE8" w:themeFill="accent5" w:themeFillTint="66"/>
          </w:tcPr>
          <w:p w14:paraId="07EF221B" w14:textId="77777777" w:rsidR="00995B62" w:rsidRPr="000169BD" w:rsidRDefault="00995B62" w:rsidP="00EF28F6">
            <w:pPr>
              <w:pStyle w:val="headnote-e"/>
              <w:rPr>
                <w:rFonts w:asciiTheme="minorHAnsi" w:hAnsiTheme="minorHAnsi"/>
              </w:rPr>
            </w:pPr>
            <w:r w:rsidRPr="000169BD">
              <w:rPr>
                <w:rFonts w:asciiTheme="minorHAnsi" w:hAnsiTheme="minorHAnsi"/>
              </w:rPr>
              <w:lastRenderedPageBreak/>
              <w:t>Date Completed:</w:t>
            </w:r>
          </w:p>
        </w:tc>
        <w:tc>
          <w:tcPr>
            <w:tcW w:w="7758" w:type="dxa"/>
            <w:gridSpan w:val="3"/>
            <w:tcBorders>
              <w:bottom w:val="single" w:sz="4" w:space="0" w:color="auto"/>
            </w:tcBorders>
            <w:vAlign w:val="bottom"/>
          </w:tcPr>
          <w:p w14:paraId="7BFC1695" w14:textId="4CCE758D" w:rsidR="00995B62" w:rsidRPr="000169BD" w:rsidRDefault="00995B62" w:rsidP="00CE5E7B">
            <w:pPr>
              <w:pStyle w:val="headnote-e"/>
              <w:rPr>
                <w:rFonts w:asciiTheme="minorHAnsi" w:hAnsiTheme="minorHAnsi"/>
                <w:sz w:val="24"/>
              </w:rPr>
            </w:pPr>
          </w:p>
        </w:tc>
      </w:tr>
      <w:tr w:rsidR="00CE5E7B" w:rsidRPr="000169BD" w14:paraId="02503A79" w14:textId="77777777" w:rsidTr="00B9727C">
        <w:trPr>
          <w:trHeight w:val="62"/>
          <w:jc w:val="center"/>
        </w:trPr>
        <w:tc>
          <w:tcPr>
            <w:tcW w:w="9918" w:type="dxa"/>
            <w:gridSpan w:val="5"/>
            <w:vAlign w:val="bottom"/>
          </w:tcPr>
          <w:p w14:paraId="15FF6847" w14:textId="77777777" w:rsidR="00CE5E7B" w:rsidRPr="000169BD" w:rsidRDefault="00CE5E7B" w:rsidP="00CE5E7B">
            <w:pPr>
              <w:pStyle w:val="headnote-e"/>
              <w:rPr>
                <w:rFonts w:asciiTheme="minorHAnsi" w:hAnsiTheme="minorHAnsi"/>
                <w:sz w:val="4"/>
              </w:rPr>
            </w:pPr>
          </w:p>
        </w:tc>
      </w:tr>
      <w:tr w:rsidR="00995B62" w:rsidRPr="000169BD" w14:paraId="5926315D" w14:textId="77777777" w:rsidTr="00B9727C">
        <w:trPr>
          <w:trHeight w:val="180"/>
          <w:jc w:val="center"/>
        </w:trPr>
        <w:tc>
          <w:tcPr>
            <w:tcW w:w="9918" w:type="dxa"/>
            <w:gridSpan w:val="5"/>
            <w:shd w:val="clear" w:color="auto" w:fill="B6DDE8" w:themeFill="accent5" w:themeFillTint="66"/>
            <w:vAlign w:val="bottom"/>
          </w:tcPr>
          <w:p w14:paraId="5ADFDCCB" w14:textId="77777777" w:rsidR="00995B62" w:rsidRPr="000169BD" w:rsidRDefault="00995B62" w:rsidP="00CE5E7B">
            <w:pPr>
              <w:pStyle w:val="headnote-e"/>
              <w:rPr>
                <w:rFonts w:asciiTheme="minorHAnsi" w:hAnsiTheme="minorHAnsi"/>
              </w:rPr>
            </w:pPr>
            <w:r w:rsidRPr="000169BD">
              <w:rPr>
                <w:rFonts w:asciiTheme="minorHAnsi" w:hAnsiTheme="minorHAnsi"/>
              </w:rPr>
              <w:t>Team Members participating in the Gap Analysis:</w:t>
            </w:r>
          </w:p>
        </w:tc>
      </w:tr>
      <w:tr w:rsidR="00995B62" w:rsidRPr="000169BD" w14:paraId="34D7CC4D" w14:textId="77777777" w:rsidTr="00B9727C">
        <w:trPr>
          <w:gridBefore w:val="1"/>
          <w:wBefore w:w="270" w:type="dxa"/>
          <w:jc w:val="center"/>
        </w:trPr>
        <w:tc>
          <w:tcPr>
            <w:tcW w:w="4860" w:type="dxa"/>
            <w:gridSpan w:val="2"/>
            <w:tcBorders>
              <w:bottom w:val="single" w:sz="4" w:space="0" w:color="auto"/>
            </w:tcBorders>
            <w:vAlign w:val="bottom"/>
          </w:tcPr>
          <w:p w14:paraId="2940908F" w14:textId="2C7B6E6F" w:rsidR="00995B62" w:rsidRPr="000169BD" w:rsidRDefault="00995B62" w:rsidP="002F6626">
            <w:pPr>
              <w:pStyle w:val="headnote-e"/>
              <w:numPr>
                <w:ilvl w:val="0"/>
                <w:numId w:val="1"/>
              </w:numPr>
              <w:rPr>
                <w:rFonts w:asciiTheme="minorHAnsi" w:hAnsiTheme="minorHAnsi"/>
                <w:b w:val="0"/>
                <w:sz w:val="24"/>
              </w:rPr>
            </w:pPr>
          </w:p>
        </w:tc>
        <w:tc>
          <w:tcPr>
            <w:tcW w:w="270" w:type="dxa"/>
          </w:tcPr>
          <w:p w14:paraId="2CF67446" w14:textId="77777777" w:rsidR="00995B62" w:rsidRPr="000169BD" w:rsidRDefault="00995B62" w:rsidP="00EF28F6">
            <w:pPr>
              <w:pStyle w:val="headnote-e"/>
              <w:rPr>
                <w:rFonts w:asciiTheme="minorHAnsi" w:hAnsiTheme="minorHAnsi"/>
                <w:b w:val="0"/>
                <w:sz w:val="16"/>
                <w:szCs w:val="16"/>
              </w:rPr>
            </w:pPr>
          </w:p>
        </w:tc>
        <w:tc>
          <w:tcPr>
            <w:tcW w:w="4518" w:type="dxa"/>
            <w:tcBorders>
              <w:bottom w:val="single" w:sz="4" w:space="0" w:color="auto"/>
            </w:tcBorders>
            <w:vAlign w:val="bottom"/>
          </w:tcPr>
          <w:p w14:paraId="05D76F5C" w14:textId="3B10B8F4" w:rsidR="00995B62" w:rsidRPr="000169BD" w:rsidRDefault="00995B62" w:rsidP="002F6626">
            <w:pPr>
              <w:pStyle w:val="headnote-e"/>
              <w:numPr>
                <w:ilvl w:val="0"/>
                <w:numId w:val="1"/>
              </w:numPr>
              <w:rPr>
                <w:rFonts w:asciiTheme="minorHAnsi" w:hAnsiTheme="minorHAnsi"/>
                <w:b w:val="0"/>
                <w:sz w:val="24"/>
              </w:rPr>
            </w:pPr>
          </w:p>
        </w:tc>
      </w:tr>
      <w:tr w:rsidR="00995B62" w:rsidRPr="000169BD" w14:paraId="5AC231C2" w14:textId="77777777" w:rsidTr="00B9727C">
        <w:trPr>
          <w:gridBefore w:val="1"/>
          <w:wBefore w:w="270" w:type="dxa"/>
          <w:jc w:val="center"/>
        </w:trPr>
        <w:tc>
          <w:tcPr>
            <w:tcW w:w="4860" w:type="dxa"/>
            <w:gridSpan w:val="2"/>
            <w:tcBorders>
              <w:top w:val="single" w:sz="4" w:space="0" w:color="auto"/>
              <w:bottom w:val="single" w:sz="4" w:space="0" w:color="auto"/>
            </w:tcBorders>
            <w:vAlign w:val="bottom"/>
          </w:tcPr>
          <w:p w14:paraId="55C5826F" w14:textId="366143B1" w:rsidR="00995B62" w:rsidRPr="000169BD" w:rsidRDefault="00995B62" w:rsidP="002F6626">
            <w:pPr>
              <w:pStyle w:val="headnote-e"/>
              <w:numPr>
                <w:ilvl w:val="0"/>
                <w:numId w:val="1"/>
              </w:numPr>
              <w:rPr>
                <w:rFonts w:asciiTheme="minorHAnsi" w:hAnsiTheme="minorHAnsi"/>
                <w:b w:val="0"/>
                <w:sz w:val="24"/>
              </w:rPr>
            </w:pPr>
          </w:p>
        </w:tc>
        <w:tc>
          <w:tcPr>
            <w:tcW w:w="270" w:type="dxa"/>
          </w:tcPr>
          <w:p w14:paraId="1529BBB6" w14:textId="77777777" w:rsidR="00995B62" w:rsidRPr="000169BD" w:rsidRDefault="00995B62" w:rsidP="00EF28F6">
            <w:pPr>
              <w:pStyle w:val="headnote-e"/>
              <w:rPr>
                <w:rFonts w:asciiTheme="minorHAnsi" w:hAnsiTheme="minorHAnsi"/>
                <w:b w:val="0"/>
                <w:sz w:val="16"/>
                <w:szCs w:val="16"/>
              </w:rPr>
            </w:pPr>
          </w:p>
        </w:tc>
        <w:tc>
          <w:tcPr>
            <w:tcW w:w="4518" w:type="dxa"/>
            <w:tcBorders>
              <w:top w:val="single" w:sz="4" w:space="0" w:color="auto"/>
              <w:bottom w:val="single" w:sz="4" w:space="0" w:color="auto"/>
            </w:tcBorders>
            <w:vAlign w:val="bottom"/>
          </w:tcPr>
          <w:p w14:paraId="7D12F15B" w14:textId="77777777" w:rsidR="00995B62" w:rsidRPr="000169BD" w:rsidRDefault="00995B62" w:rsidP="002F6626">
            <w:pPr>
              <w:pStyle w:val="headnote-e"/>
              <w:numPr>
                <w:ilvl w:val="0"/>
                <w:numId w:val="1"/>
              </w:numPr>
              <w:rPr>
                <w:rFonts w:asciiTheme="minorHAnsi" w:hAnsiTheme="minorHAnsi"/>
                <w:b w:val="0"/>
                <w:sz w:val="24"/>
              </w:rPr>
            </w:pPr>
          </w:p>
        </w:tc>
      </w:tr>
      <w:tr w:rsidR="00995B62" w:rsidRPr="000169BD" w14:paraId="5405CDFB" w14:textId="77777777" w:rsidTr="00B9727C">
        <w:trPr>
          <w:gridBefore w:val="1"/>
          <w:wBefore w:w="270" w:type="dxa"/>
          <w:jc w:val="center"/>
        </w:trPr>
        <w:tc>
          <w:tcPr>
            <w:tcW w:w="4860" w:type="dxa"/>
            <w:gridSpan w:val="2"/>
            <w:tcBorders>
              <w:top w:val="single" w:sz="4" w:space="0" w:color="auto"/>
              <w:bottom w:val="single" w:sz="4" w:space="0" w:color="auto"/>
            </w:tcBorders>
            <w:vAlign w:val="bottom"/>
          </w:tcPr>
          <w:p w14:paraId="66FBC97F" w14:textId="34515FB0" w:rsidR="00995B62" w:rsidRPr="000169BD" w:rsidRDefault="00995B62" w:rsidP="002F6626">
            <w:pPr>
              <w:pStyle w:val="headnote-e"/>
              <w:numPr>
                <w:ilvl w:val="0"/>
                <w:numId w:val="1"/>
              </w:numPr>
              <w:rPr>
                <w:rFonts w:asciiTheme="minorHAnsi" w:hAnsiTheme="minorHAnsi"/>
                <w:b w:val="0"/>
                <w:sz w:val="24"/>
              </w:rPr>
            </w:pPr>
          </w:p>
        </w:tc>
        <w:tc>
          <w:tcPr>
            <w:tcW w:w="270" w:type="dxa"/>
          </w:tcPr>
          <w:p w14:paraId="646E0E29" w14:textId="77777777" w:rsidR="00995B62" w:rsidRPr="000169BD" w:rsidRDefault="00995B62" w:rsidP="00EF28F6">
            <w:pPr>
              <w:pStyle w:val="headnote-e"/>
              <w:rPr>
                <w:rFonts w:asciiTheme="minorHAnsi" w:hAnsiTheme="minorHAnsi"/>
                <w:b w:val="0"/>
                <w:sz w:val="16"/>
                <w:szCs w:val="16"/>
              </w:rPr>
            </w:pPr>
          </w:p>
        </w:tc>
        <w:tc>
          <w:tcPr>
            <w:tcW w:w="4518" w:type="dxa"/>
            <w:tcBorders>
              <w:top w:val="single" w:sz="4" w:space="0" w:color="auto"/>
              <w:bottom w:val="single" w:sz="4" w:space="0" w:color="auto"/>
            </w:tcBorders>
            <w:vAlign w:val="bottom"/>
          </w:tcPr>
          <w:p w14:paraId="6D2232DA" w14:textId="77777777" w:rsidR="00995B62" w:rsidRPr="000169BD" w:rsidRDefault="00995B62" w:rsidP="002F6626">
            <w:pPr>
              <w:pStyle w:val="headnote-e"/>
              <w:numPr>
                <w:ilvl w:val="0"/>
                <w:numId w:val="1"/>
              </w:numPr>
              <w:rPr>
                <w:rFonts w:asciiTheme="minorHAnsi" w:hAnsiTheme="minorHAnsi"/>
                <w:b w:val="0"/>
                <w:sz w:val="24"/>
              </w:rPr>
            </w:pPr>
          </w:p>
        </w:tc>
      </w:tr>
    </w:tbl>
    <w:p w14:paraId="7DBBE887" w14:textId="77777777" w:rsidR="00A10D6E" w:rsidRPr="000169BD" w:rsidRDefault="00A10D6E" w:rsidP="00EF28F6">
      <w:pPr>
        <w:pStyle w:val="headnote-e"/>
        <w:rPr>
          <w:rFonts w:asciiTheme="minorHAnsi" w:hAnsiTheme="minorHAnsi"/>
          <w:sz w:val="20"/>
          <w:szCs w:val="20"/>
        </w:rPr>
      </w:pPr>
    </w:p>
    <w:p w14:paraId="401B1256" w14:textId="77777777" w:rsidR="00540DEB" w:rsidRDefault="00540DEB" w:rsidP="00540DEB">
      <w:pPr>
        <w:pStyle w:val="headnote-e"/>
        <w:ind w:left="-630" w:right="-720"/>
        <w:rPr>
          <w:rFonts w:asciiTheme="minorHAnsi" w:hAnsiTheme="minorHAnsi"/>
          <w:sz w:val="20"/>
          <w:szCs w:val="20"/>
        </w:rPr>
      </w:pPr>
      <w:r>
        <w:rPr>
          <w:rFonts w:ascii="Calibri" w:hAnsi="Calibri"/>
          <w:b w:val="0"/>
          <w:sz w:val="24"/>
          <w:szCs w:val="22"/>
        </w:rPr>
        <w:t xml:space="preserve">Completion of this gap analysis allows for the annual comparison of your current practice to evidence-based practices as regulated by the MOHLTC per Fixing Long-Term Care Act, 2021 at  </w:t>
      </w:r>
      <w:hyperlink r:id="rId18" w:history="1">
        <w:r>
          <w:rPr>
            <w:rStyle w:val="Hyperlink"/>
            <w:rFonts w:ascii="Calibri" w:hAnsi="Calibri"/>
            <w:b w:val="0"/>
            <w:sz w:val="24"/>
            <w:szCs w:val="22"/>
          </w:rPr>
          <w:t>https://www.ontario.ca/laws/statute/21f39</w:t>
        </w:r>
      </w:hyperlink>
      <w:r>
        <w:t xml:space="preserve"> </w:t>
      </w:r>
      <w:r>
        <w:rPr>
          <w:rFonts w:asciiTheme="minorHAnsi" w:hAnsiTheme="minorHAnsi"/>
          <w:sz w:val="20"/>
          <w:szCs w:val="20"/>
        </w:rPr>
        <w:t>&amp;</w:t>
      </w:r>
    </w:p>
    <w:p w14:paraId="4733D897" w14:textId="09B000CB" w:rsidR="00540DEB" w:rsidRPr="00F661AB" w:rsidRDefault="00540DEB" w:rsidP="00540DEB">
      <w:pPr>
        <w:pStyle w:val="headnote-e"/>
        <w:ind w:left="-630" w:right="-720"/>
        <w:rPr>
          <w:rFonts w:asciiTheme="minorHAnsi" w:hAnsiTheme="minorHAnsi" w:cstheme="minorHAnsi"/>
          <w:b w:val="0"/>
          <w:bCs w:val="0"/>
          <w:color w:val="auto"/>
          <w:sz w:val="24"/>
          <w:szCs w:val="24"/>
        </w:rPr>
      </w:pPr>
      <w:r>
        <w:rPr>
          <w:rFonts w:asciiTheme="minorHAnsi" w:hAnsiTheme="minorHAnsi"/>
          <w:sz w:val="20"/>
          <w:szCs w:val="20"/>
        </w:rPr>
        <w:t xml:space="preserve"> </w:t>
      </w:r>
      <w:hyperlink r:id="rId19" w:history="1">
        <w:r w:rsidRPr="00F661AB">
          <w:rPr>
            <w:rFonts w:asciiTheme="minorHAnsi" w:hAnsiTheme="minorHAnsi" w:cstheme="minorHAnsi"/>
            <w:b w:val="0"/>
            <w:bCs w:val="0"/>
            <w:color w:val="0000FF"/>
            <w:sz w:val="24"/>
            <w:szCs w:val="24"/>
            <w:u w:val="single"/>
          </w:rPr>
          <w:t>O. Reg. 246/22: GENERAL (ontario.ca)</w:t>
        </w:r>
      </w:hyperlink>
    </w:p>
    <w:p w14:paraId="6D9112AA" w14:textId="77777777" w:rsidR="00E82AEE" w:rsidRPr="000169BD" w:rsidRDefault="00E82AEE" w:rsidP="00E82AEE">
      <w:pPr>
        <w:rPr>
          <w:rFonts w:asciiTheme="minorHAnsi" w:hAnsiTheme="minorHAnsi"/>
          <w:b/>
          <w:color w:val="003366"/>
          <w:sz w:val="20"/>
          <w:szCs w:val="20"/>
        </w:rPr>
      </w:pPr>
      <w:r w:rsidRPr="000169BD">
        <w:rPr>
          <w:rFonts w:asciiTheme="minorHAnsi" w:hAnsiTheme="minorHAnsi"/>
          <w:sz w:val="20"/>
          <w:szCs w:val="20"/>
        </w:rPr>
        <w:tab/>
      </w:r>
    </w:p>
    <w:tbl>
      <w:tblPr>
        <w:tblW w:w="11520" w:type="dxa"/>
        <w:jc w:val="center"/>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4A0" w:firstRow="1" w:lastRow="0" w:firstColumn="1" w:lastColumn="0" w:noHBand="0" w:noVBand="1"/>
      </w:tblPr>
      <w:tblGrid>
        <w:gridCol w:w="4950"/>
        <w:gridCol w:w="504"/>
        <w:gridCol w:w="504"/>
        <w:gridCol w:w="504"/>
        <w:gridCol w:w="5058"/>
      </w:tblGrid>
      <w:tr w:rsidR="003F5E96" w:rsidRPr="000169BD" w14:paraId="7FDBCEF6" w14:textId="77777777" w:rsidTr="00D33080">
        <w:trPr>
          <w:cantSplit/>
          <w:trHeight w:val="1043"/>
          <w:tblHeader/>
          <w:jc w:val="center"/>
        </w:trPr>
        <w:tc>
          <w:tcPr>
            <w:tcW w:w="4950" w:type="dxa"/>
            <w:tcBorders>
              <w:bottom w:val="single" w:sz="4" w:space="0" w:color="008080"/>
            </w:tcBorders>
            <w:shd w:val="clear" w:color="auto" w:fill="B6DDE8" w:themeFill="accent5" w:themeFillTint="66"/>
            <w:vAlign w:val="center"/>
          </w:tcPr>
          <w:p w14:paraId="7186072E" w14:textId="649FA34D" w:rsidR="00D12ACF" w:rsidRPr="000169BD" w:rsidRDefault="00D12ACF" w:rsidP="00995B62">
            <w:pPr>
              <w:autoSpaceDE w:val="0"/>
              <w:autoSpaceDN w:val="0"/>
              <w:adjustRightInd w:val="0"/>
              <w:jc w:val="center"/>
              <w:rPr>
                <w:rFonts w:asciiTheme="minorHAnsi" w:hAnsiTheme="minorHAnsi"/>
                <w:color w:val="003366"/>
              </w:rPr>
            </w:pPr>
            <w:r w:rsidRPr="000169BD">
              <w:rPr>
                <w:rFonts w:asciiTheme="minorHAnsi" w:hAnsiTheme="minorHAnsi"/>
                <w:b/>
                <w:color w:val="003366"/>
              </w:rPr>
              <w:t>RNAO Best Practice Guideline Recommendations</w:t>
            </w:r>
            <w:r w:rsidR="0025537C">
              <w:rPr>
                <w:rFonts w:asciiTheme="minorHAnsi" w:hAnsiTheme="minorHAnsi"/>
                <w:b/>
                <w:color w:val="003366"/>
              </w:rPr>
              <w:t xml:space="preserve"> for </w:t>
            </w:r>
            <w:r w:rsidR="00204484">
              <w:rPr>
                <w:rFonts w:asciiTheme="minorHAnsi" w:hAnsiTheme="minorHAnsi"/>
                <w:b/>
                <w:color w:val="003366"/>
              </w:rPr>
              <w:t>Transitions in Care and Services</w:t>
            </w:r>
          </w:p>
        </w:tc>
        <w:tc>
          <w:tcPr>
            <w:tcW w:w="504" w:type="dxa"/>
            <w:shd w:val="clear" w:color="auto" w:fill="B6DDE8" w:themeFill="accent5" w:themeFillTint="66"/>
            <w:textDirection w:val="btLr"/>
            <w:vAlign w:val="center"/>
          </w:tcPr>
          <w:p w14:paraId="3DCE60A1" w14:textId="77777777" w:rsidR="00D12ACF" w:rsidRPr="000169BD" w:rsidRDefault="00D12ACF" w:rsidP="003F5E96">
            <w:pPr>
              <w:pStyle w:val="headnote-e"/>
              <w:ind w:left="113" w:right="113"/>
              <w:jc w:val="center"/>
              <w:rPr>
                <w:rFonts w:asciiTheme="minorHAnsi" w:hAnsiTheme="minorHAnsi"/>
                <w:b w:val="0"/>
                <w:color w:val="003366"/>
                <w:sz w:val="22"/>
                <w:szCs w:val="24"/>
              </w:rPr>
            </w:pPr>
            <w:r w:rsidRPr="000169BD">
              <w:rPr>
                <w:rFonts w:asciiTheme="minorHAnsi" w:hAnsiTheme="minorHAnsi"/>
                <w:b w:val="0"/>
                <w:color w:val="003366"/>
                <w:sz w:val="22"/>
                <w:szCs w:val="24"/>
              </w:rPr>
              <w:t>Met</w:t>
            </w:r>
          </w:p>
        </w:tc>
        <w:tc>
          <w:tcPr>
            <w:tcW w:w="504" w:type="dxa"/>
            <w:shd w:val="clear" w:color="auto" w:fill="B6DDE8" w:themeFill="accent5" w:themeFillTint="66"/>
            <w:textDirection w:val="btLr"/>
            <w:vAlign w:val="center"/>
          </w:tcPr>
          <w:p w14:paraId="315DD023" w14:textId="77777777" w:rsidR="00D12ACF" w:rsidRPr="000169BD" w:rsidRDefault="00D12ACF" w:rsidP="003F5E96">
            <w:pPr>
              <w:pStyle w:val="headnote-e"/>
              <w:spacing w:line="200" w:lineRule="exact"/>
              <w:ind w:left="115" w:right="115"/>
              <w:jc w:val="center"/>
              <w:rPr>
                <w:rFonts w:asciiTheme="minorHAnsi" w:hAnsiTheme="minorHAnsi"/>
                <w:b w:val="0"/>
                <w:color w:val="003366"/>
                <w:sz w:val="22"/>
                <w:szCs w:val="24"/>
              </w:rPr>
            </w:pPr>
            <w:r w:rsidRPr="000169BD">
              <w:rPr>
                <w:rFonts w:asciiTheme="minorHAnsi" w:hAnsiTheme="minorHAnsi"/>
                <w:b w:val="0"/>
                <w:color w:val="003366"/>
                <w:sz w:val="22"/>
                <w:szCs w:val="24"/>
              </w:rPr>
              <w:t>Partially</w:t>
            </w:r>
            <w:r w:rsidR="007D1C17" w:rsidRPr="000169BD">
              <w:rPr>
                <w:rFonts w:asciiTheme="minorHAnsi" w:hAnsiTheme="minorHAnsi"/>
                <w:b w:val="0"/>
                <w:color w:val="003366"/>
                <w:sz w:val="22"/>
                <w:szCs w:val="24"/>
              </w:rPr>
              <w:t xml:space="preserve"> </w:t>
            </w:r>
            <w:r w:rsidRPr="000169BD">
              <w:rPr>
                <w:rFonts w:asciiTheme="minorHAnsi" w:hAnsiTheme="minorHAnsi"/>
                <w:b w:val="0"/>
                <w:color w:val="003366"/>
                <w:sz w:val="22"/>
                <w:szCs w:val="24"/>
              </w:rPr>
              <w:t>Met</w:t>
            </w:r>
          </w:p>
        </w:tc>
        <w:tc>
          <w:tcPr>
            <w:tcW w:w="504" w:type="dxa"/>
            <w:shd w:val="clear" w:color="auto" w:fill="B6DDE8" w:themeFill="accent5" w:themeFillTint="66"/>
            <w:textDirection w:val="btLr"/>
            <w:vAlign w:val="center"/>
          </w:tcPr>
          <w:p w14:paraId="7706ABC6" w14:textId="77777777" w:rsidR="00D12ACF" w:rsidRPr="000169BD" w:rsidRDefault="00D12ACF" w:rsidP="003F5E96">
            <w:pPr>
              <w:pStyle w:val="headnote-e"/>
              <w:ind w:left="113" w:right="113"/>
              <w:jc w:val="center"/>
              <w:rPr>
                <w:rFonts w:asciiTheme="minorHAnsi" w:hAnsiTheme="minorHAnsi"/>
                <w:b w:val="0"/>
                <w:color w:val="003366"/>
                <w:sz w:val="22"/>
                <w:szCs w:val="24"/>
              </w:rPr>
            </w:pPr>
            <w:r w:rsidRPr="000169BD">
              <w:rPr>
                <w:rFonts w:asciiTheme="minorHAnsi" w:hAnsiTheme="minorHAnsi"/>
                <w:b w:val="0"/>
                <w:color w:val="003366"/>
                <w:sz w:val="22"/>
                <w:szCs w:val="24"/>
              </w:rPr>
              <w:t>Unmet</w:t>
            </w:r>
          </w:p>
        </w:tc>
        <w:tc>
          <w:tcPr>
            <w:tcW w:w="5058" w:type="dxa"/>
            <w:shd w:val="clear" w:color="auto" w:fill="B6DDE8" w:themeFill="accent5" w:themeFillTint="66"/>
            <w:vAlign w:val="center"/>
          </w:tcPr>
          <w:p w14:paraId="55F8BBB2" w14:textId="77777777" w:rsidR="00660793" w:rsidRPr="000169BD" w:rsidRDefault="00D12ACF" w:rsidP="00660793">
            <w:pPr>
              <w:pStyle w:val="headnote-e"/>
              <w:jc w:val="center"/>
              <w:rPr>
                <w:rFonts w:asciiTheme="minorHAnsi" w:hAnsiTheme="minorHAnsi"/>
                <w:color w:val="003366"/>
                <w:sz w:val="24"/>
                <w:szCs w:val="24"/>
              </w:rPr>
            </w:pPr>
            <w:r w:rsidRPr="000169BD">
              <w:rPr>
                <w:rFonts w:asciiTheme="minorHAnsi" w:hAnsiTheme="minorHAnsi"/>
                <w:color w:val="003366"/>
                <w:sz w:val="24"/>
                <w:szCs w:val="24"/>
              </w:rPr>
              <w:t>Notes</w:t>
            </w:r>
          </w:p>
          <w:p w14:paraId="424583BD" w14:textId="77777777" w:rsidR="00EA0EF8" w:rsidRPr="000169BD" w:rsidRDefault="00EA0EF8" w:rsidP="00660793">
            <w:pPr>
              <w:pStyle w:val="headnote-e"/>
              <w:jc w:val="center"/>
              <w:rPr>
                <w:rFonts w:asciiTheme="minorHAnsi" w:hAnsiTheme="minorHAnsi"/>
                <w:b w:val="0"/>
                <w:color w:val="003366"/>
                <w:sz w:val="24"/>
                <w:szCs w:val="24"/>
              </w:rPr>
            </w:pPr>
            <w:r w:rsidRPr="000169BD">
              <w:rPr>
                <w:rFonts w:asciiTheme="minorHAnsi" w:hAnsiTheme="minorHAnsi"/>
                <w:b w:val="0"/>
                <w:color w:val="003366"/>
                <w:sz w:val="20"/>
                <w:szCs w:val="24"/>
              </w:rPr>
              <w:t>(Examples of what to include: is this a priority to our home, information on current practice, possible overlap with other programs or partners)</w:t>
            </w:r>
          </w:p>
        </w:tc>
      </w:tr>
      <w:tr w:rsidR="00CC0EFE" w:rsidRPr="000169BD" w14:paraId="2152DBFF" w14:textId="77777777" w:rsidTr="0025537C">
        <w:trPr>
          <w:trHeight w:val="20"/>
          <w:jc w:val="center"/>
        </w:trPr>
        <w:tc>
          <w:tcPr>
            <w:tcW w:w="11520" w:type="dxa"/>
            <w:gridSpan w:val="5"/>
            <w:tcBorders>
              <w:bottom w:val="single" w:sz="4" w:space="0" w:color="008080"/>
            </w:tcBorders>
            <w:shd w:val="clear" w:color="auto" w:fill="DAEEF3" w:themeFill="accent5" w:themeFillTint="33"/>
          </w:tcPr>
          <w:p w14:paraId="2E9FA363" w14:textId="75EC0227" w:rsidR="00CC0EFE" w:rsidRPr="0025537C" w:rsidRDefault="00CC0EFE" w:rsidP="00142C08">
            <w:pPr>
              <w:ind w:left="360" w:hanging="360"/>
              <w:rPr>
                <w:rFonts w:asciiTheme="minorHAnsi" w:hAnsiTheme="minorHAnsi"/>
                <w:b/>
                <w:color w:val="1F497D"/>
                <w:sz w:val="22"/>
              </w:rPr>
            </w:pPr>
            <w:r w:rsidRPr="0025537C">
              <w:rPr>
                <w:rFonts w:asciiTheme="minorHAnsi" w:hAnsiTheme="minorHAnsi"/>
                <w:b/>
                <w:color w:val="1F497D"/>
                <w:sz w:val="22"/>
              </w:rPr>
              <w:t>GOOD PRACTICE STATEMENT</w:t>
            </w:r>
            <w:r w:rsidR="001E48FB">
              <w:rPr>
                <w:rFonts w:asciiTheme="minorHAnsi" w:hAnsiTheme="minorHAnsi"/>
                <w:b/>
                <w:color w:val="1F497D"/>
                <w:sz w:val="22"/>
              </w:rPr>
              <w:t xml:space="preserve"> 1.0</w:t>
            </w:r>
            <w:r w:rsidRPr="0025537C">
              <w:rPr>
                <w:rFonts w:asciiTheme="minorHAnsi" w:hAnsiTheme="minorHAnsi"/>
                <w:b/>
                <w:color w:val="1F497D"/>
                <w:sz w:val="22"/>
              </w:rPr>
              <w:t>:</w:t>
            </w:r>
          </w:p>
          <w:p w14:paraId="679AA15D" w14:textId="0EB31D59" w:rsidR="001E48FB" w:rsidRPr="001E48FB" w:rsidRDefault="001E48FB" w:rsidP="001E48FB">
            <w:pPr>
              <w:rPr>
                <w:rFonts w:asciiTheme="minorHAnsi" w:hAnsiTheme="minorHAnsi" w:cstheme="minorHAnsi"/>
                <w:sz w:val="20"/>
                <w:szCs w:val="20"/>
              </w:rPr>
            </w:pPr>
            <w:r>
              <w:rPr>
                <w:rFonts w:asciiTheme="minorHAnsi" w:hAnsiTheme="minorHAnsi" w:cstheme="minorHAnsi"/>
                <w:b/>
                <w:sz w:val="22"/>
                <w:szCs w:val="22"/>
              </w:rPr>
              <w:t xml:space="preserve"> </w:t>
            </w:r>
            <w:r w:rsidRPr="001E48FB">
              <w:rPr>
                <w:rFonts w:asciiTheme="minorHAnsi" w:hAnsiTheme="minorHAnsi" w:cstheme="minorHAnsi"/>
                <w:bCs/>
                <w:sz w:val="20"/>
                <w:szCs w:val="20"/>
              </w:rPr>
              <w:t>I</w:t>
            </w:r>
            <w:r w:rsidRPr="001E48FB">
              <w:rPr>
                <w:rFonts w:asciiTheme="minorHAnsi" w:hAnsiTheme="minorHAnsi" w:cstheme="minorHAnsi"/>
                <w:sz w:val="20"/>
                <w:szCs w:val="20"/>
              </w:rPr>
              <w:t>t is good practice that health and social service providers collaborate with persons and their support network before, during and after a transition in care in order to ensure a safe and effective transition. (pg.30)</w:t>
            </w:r>
          </w:p>
          <w:p w14:paraId="3D4BD5B9" w14:textId="322D59F5" w:rsidR="0025537C" w:rsidRPr="0025537C" w:rsidRDefault="001E48FB" w:rsidP="001E48FB">
            <w:pPr>
              <w:ind w:left="72"/>
              <w:rPr>
                <w:rFonts w:asciiTheme="minorHAnsi" w:hAnsiTheme="minorHAnsi"/>
                <w:sz w:val="20"/>
                <w:szCs w:val="22"/>
              </w:rPr>
            </w:pPr>
            <w:r w:rsidRPr="001E48FB">
              <w:rPr>
                <w:rFonts w:asciiTheme="minorHAnsi" w:hAnsiTheme="minorHAnsi" w:cstheme="minorHAnsi"/>
                <w:i/>
                <w:iCs/>
                <w:sz w:val="20"/>
                <w:szCs w:val="20"/>
              </w:rPr>
              <w:t>*This good practice statement is an overarching statement that is foundational to implementing all other recommendations and good practice statements</w:t>
            </w:r>
          </w:p>
        </w:tc>
      </w:tr>
      <w:tr w:rsidR="0025537C" w:rsidRPr="000169BD" w14:paraId="2552C8BA" w14:textId="77777777" w:rsidTr="00B9727C">
        <w:trPr>
          <w:trHeight w:val="20"/>
          <w:jc w:val="center"/>
        </w:trPr>
        <w:tc>
          <w:tcPr>
            <w:tcW w:w="4950" w:type="dxa"/>
            <w:tcBorders>
              <w:bottom w:val="single" w:sz="4" w:space="0" w:color="008080"/>
            </w:tcBorders>
            <w:shd w:val="clear" w:color="auto" w:fill="auto"/>
          </w:tcPr>
          <w:p w14:paraId="2ECDDC42" w14:textId="77777777" w:rsidR="001E48FB" w:rsidRPr="001E48FB" w:rsidRDefault="001E48FB" w:rsidP="001E48FB">
            <w:pPr>
              <w:rPr>
                <w:rFonts w:asciiTheme="minorHAnsi" w:hAnsiTheme="minorHAnsi" w:cstheme="minorHAnsi"/>
                <w:sz w:val="20"/>
                <w:szCs w:val="20"/>
              </w:rPr>
            </w:pPr>
            <w:r w:rsidRPr="001E48FB">
              <w:rPr>
                <w:rFonts w:asciiTheme="minorHAnsi" w:hAnsiTheme="minorHAnsi" w:cstheme="minorHAnsi"/>
                <w:sz w:val="20"/>
                <w:szCs w:val="20"/>
              </w:rPr>
              <w:t xml:space="preserve">To achieve the best outcomes during a transition in care, it is imperative for health and social service providers to use an </w:t>
            </w:r>
            <w:r w:rsidRPr="001E48FB">
              <w:rPr>
                <w:rFonts w:asciiTheme="minorHAnsi" w:hAnsiTheme="minorHAnsi" w:cstheme="minorHAnsi"/>
                <w:sz w:val="20"/>
                <w:szCs w:val="20"/>
                <w:u w:val="single"/>
              </w:rPr>
              <w:t>informed, shared decision-making process</w:t>
            </w:r>
            <w:r w:rsidRPr="001E48FB">
              <w:rPr>
                <w:rFonts w:asciiTheme="minorHAnsi" w:hAnsiTheme="minorHAnsi" w:cstheme="minorHAnsi"/>
                <w:sz w:val="20"/>
                <w:szCs w:val="20"/>
              </w:rPr>
              <w:t xml:space="preserve"> (38,51,52). </w:t>
            </w:r>
          </w:p>
          <w:p w14:paraId="2A87ADF0" w14:textId="77777777" w:rsidR="001E48FB" w:rsidRPr="001E48FB" w:rsidRDefault="001E48FB" w:rsidP="001E48FB">
            <w:pPr>
              <w:rPr>
                <w:rFonts w:asciiTheme="minorHAnsi" w:hAnsiTheme="minorHAnsi" w:cstheme="minorHAnsi"/>
                <w:sz w:val="20"/>
                <w:szCs w:val="20"/>
              </w:rPr>
            </w:pPr>
            <w:r w:rsidRPr="001E48FB">
              <w:rPr>
                <w:rFonts w:asciiTheme="minorHAnsi" w:hAnsiTheme="minorHAnsi" w:cstheme="minorHAnsi"/>
                <w:sz w:val="20"/>
                <w:szCs w:val="20"/>
              </w:rPr>
              <w:t>Shared decision-making;</w:t>
            </w:r>
          </w:p>
          <w:p w14:paraId="3228A17C" w14:textId="77777777" w:rsidR="001E48FB" w:rsidRPr="001E48FB" w:rsidRDefault="001E48FB" w:rsidP="001E48FB">
            <w:pPr>
              <w:pStyle w:val="ListParagraph"/>
              <w:numPr>
                <w:ilvl w:val="0"/>
                <w:numId w:val="32"/>
              </w:numPr>
              <w:rPr>
                <w:rFonts w:asciiTheme="minorHAnsi" w:eastAsia="Calibri" w:hAnsiTheme="minorHAnsi" w:cstheme="minorHAnsi"/>
                <w:sz w:val="20"/>
                <w:szCs w:val="20"/>
              </w:rPr>
            </w:pPr>
            <w:r w:rsidRPr="001E48FB">
              <w:rPr>
                <w:rFonts w:asciiTheme="minorHAnsi" w:eastAsia="Calibri" w:hAnsiTheme="minorHAnsi" w:cstheme="minorHAnsi"/>
                <w:sz w:val="20"/>
                <w:szCs w:val="20"/>
              </w:rPr>
              <w:t xml:space="preserve">is a collaborative process that involves a person and their health or social service provider working together to reach a mutual decision about their current or future care (53). </w:t>
            </w:r>
          </w:p>
          <w:p w14:paraId="61A6F30A" w14:textId="7C72CA5F" w:rsidR="00D13B38" w:rsidRPr="00B87BBA" w:rsidRDefault="001E48FB" w:rsidP="00B87BBA">
            <w:pPr>
              <w:pStyle w:val="ListParagraph"/>
              <w:numPr>
                <w:ilvl w:val="0"/>
                <w:numId w:val="32"/>
              </w:numPr>
              <w:rPr>
                <w:rFonts w:asciiTheme="minorHAnsi" w:eastAsia="Calibri" w:hAnsiTheme="minorHAnsi" w:cstheme="minorHAnsi"/>
                <w:sz w:val="20"/>
                <w:szCs w:val="20"/>
              </w:rPr>
            </w:pPr>
            <w:r w:rsidRPr="001E48FB">
              <w:rPr>
                <w:rFonts w:asciiTheme="minorHAnsi" w:eastAsia="Calibri" w:hAnsiTheme="minorHAnsi" w:cstheme="minorHAnsi"/>
                <w:sz w:val="20"/>
                <w:szCs w:val="20"/>
              </w:rPr>
              <w:t>it also involves determining and integrating a person’s wishes and preferences (53).</w:t>
            </w:r>
          </w:p>
        </w:tc>
        <w:tc>
          <w:tcPr>
            <w:tcW w:w="504" w:type="dxa"/>
            <w:tcBorders>
              <w:bottom w:val="single" w:sz="4" w:space="0" w:color="008080"/>
            </w:tcBorders>
            <w:shd w:val="clear" w:color="auto" w:fill="auto"/>
          </w:tcPr>
          <w:p w14:paraId="5CC6BD8B" w14:textId="77777777" w:rsidR="0025537C" w:rsidRPr="000169BD" w:rsidRDefault="0025537C"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4F626173" w14:textId="77777777" w:rsidR="0025537C" w:rsidRPr="000169BD" w:rsidRDefault="0025537C"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0C415E75" w14:textId="77777777" w:rsidR="0025537C" w:rsidRPr="000169BD" w:rsidRDefault="0025537C"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78746BA6" w14:textId="7BDA676B" w:rsidR="00F2437E" w:rsidRPr="002B6470" w:rsidRDefault="00F2437E" w:rsidP="002B6470">
            <w:pPr>
              <w:rPr>
                <w:rFonts w:asciiTheme="minorHAnsi" w:hAnsiTheme="minorHAnsi" w:cstheme="minorHAnsi"/>
                <w:b/>
                <w:bCs/>
                <w:sz w:val="20"/>
                <w:szCs w:val="20"/>
              </w:rPr>
            </w:pPr>
          </w:p>
        </w:tc>
      </w:tr>
      <w:tr w:rsidR="00DE0B50" w:rsidRPr="000169BD" w14:paraId="11B3AFD0" w14:textId="77777777" w:rsidTr="00DE0B50">
        <w:trPr>
          <w:trHeight w:val="20"/>
          <w:jc w:val="center"/>
        </w:trPr>
        <w:tc>
          <w:tcPr>
            <w:tcW w:w="11520" w:type="dxa"/>
            <w:gridSpan w:val="5"/>
            <w:tcBorders>
              <w:bottom w:val="single" w:sz="4" w:space="0" w:color="008080"/>
            </w:tcBorders>
            <w:shd w:val="clear" w:color="auto" w:fill="DAEEF3" w:themeFill="accent5" w:themeFillTint="33"/>
          </w:tcPr>
          <w:p w14:paraId="14D47468" w14:textId="77777777" w:rsidR="00475771" w:rsidRDefault="004D5827" w:rsidP="00DE0B50">
            <w:pPr>
              <w:ind w:left="360" w:hanging="360"/>
              <w:rPr>
                <w:rFonts w:asciiTheme="minorHAnsi" w:hAnsiTheme="minorHAnsi" w:cstheme="minorHAnsi"/>
                <w:b/>
                <w:color w:val="1F497D" w:themeColor="text2"/>
                <w:sz w:val="22"/>
                <w:szCs w:val="22"/>
              </w:rPr>
            </w:pPr>
            <w:r w:rsidRPr="00475771">
              <w:rPr>
                <w:rFonts w:asciiTheme="minorHAnsi" w:hAnsiTheme="minorHAnsi" w:cstheme="minorHAnsi"/>
                <w:b/>
                <w:color w:val="1F497D" w:themeColor="text2"/>
                <w:sz w:val="22"/>
                <w:szCs w:val="22"/>
              </w:rPr>
              <w:t xml:space="preserve">GOOD PRACTICE STATEMENT 2.0: </w:t>
            </w:r>
          </w:p>
          <w:p w14:paraId="1C415702" w14:textId="6B832228" w:rsidR="00963349" w:rsidRPr="00483C43" w:rsidRDefault="004D5827" w:rsidP="00DE0B50">
            <w:pPr>
              <w:ind w:left="360" w:hanging="360"/>
              <w:rPr>
                <w:rFonts w:asciiTheme="minorHAnsi" w:hAnsiTheme="minorHAnsi"/>
                <w:sz w:val="18"/>
                <w:szCs w:val="18"/>
              </w:rPr>
            </w:pPr>
            <w:r w:rsidRPr="00475771">
              <w:rPr>
                <w:rFonts w:asciiTheme="minorHAnsi" w:hAnsiTheme="minorHAnsi" w:cstheme="minorHAnsi"/>
                <w:sz w:val="22"/>
                <w:szCs w:val="22"/>
              </w:rPr>
              <w:t>It is good practice that health and social service providers assess with persons and their support network their care needs and</w:t>
            </w:r>
            <w:r w:rsidR="00475771">
              <w:rPr>
                <w:rFonts w:asciiTheme="minorHAnsi" w:hAnsiTheme="minorHAnsi" w:cstheme="minorHAnsi"/>
                <w:sz w:val="22"/>
                <w:szCs w:val="22"/>
              </w:rPr>
              <w:t xml:space="preserve"> </w:t>
            </w:r>
            <w:r w:rsidRPr="00475771">
              <w:rPr>
                <w:rFonts w:asciiTheme="minorHAnsi" w:hAnsiTheme="minorHAnsi" w:cstheme="minorHAnsi"/>
                <w:sz w:val="22"/>
                <w:szCs w:val="22"/>
              </w:rPr>
              <w:t>readiness for a transition. (pg37)</w:t>
            </w:r>
          </w:p>
        </w:tc>
      </w:tr>
      <w:tr w:rsidR="00995B62" w:rsidRPr="000169BD" w14:paraId="42BA95AB" w14:textId="77777777" w:rsidTr="00B9727C">
        <w:trPr>
          <w:trHeight w:val="20"/>
          <w:jc w:val="center"/>
        </w:trPr>
        <w:tc>
          <w:tcPr>
            <w:tcW w:w="4950" w:type="dxa"/>
            <w:tcBorders>
              <w:bottom w:val="single" w:sz="4" w:space="0" w:color="008080"/>
            </w:tcBorders>
            <w:shd w:val="clear" w:color="auto" w:fill="auto"/>
          </w:tcPr>
          <w:p w14:paraId="1C1512A4" w14:textId="77777777" w:rsidR="004D5827" w:rsidRPr="004D5827" w:rsidRDefault="004D5827" w:rsidP="004D5827">
            <w:pPr>
              <w:rPr>
                <w:rFonts w:asciiTheme="minorHAnsi" w:hAnsiTheme="minorHAnsi" w:cstheme="minorHAnsi"/>
                <w:sz w:val="20"/>
                <w:szCs w:val="20"/>
              </w:rPr>
            </w:pPr>
            <w:r w:rsidRPr="004D5827">
              <w:rPr>
                <w:rFonts w:asciiTheme="minorHAnsi" w:hAnsiTheme="minorHAnsi" w:cstheme="minorHAnsi"/>
                <w:sz w:val="20"/>
                <w:szCs w:val="20"/>
              </w:rPr>
              <w:t xml:space="preserve">Assessing readiness for a transition is a central component of transition planning (62). Readiness assessments are based on clinical criteria, such as: medical stability; functional ability to manage self-care; and having the knowledge, skills, confidence and supports necessary to manage the transition and cope with common challenges that may arise (62). </w:t>
            </w:r>
          </w:p>
          <w:p w14:paraId="34766C4E" w14:textId="77777777" w:rsidR="000C26F7" w:rsidRDefault="000C26F7" w:rsidP="000C26F7">
            <w:pPr>
              <w:rPr>
                <w:rFonts w:ascii="Calibri" w:eastAsia="Calibri" w:hAnsi="Calibri"/>
                <w:sz w:val="20"/>
                <w:szCs w:val="20"/>
              </w:rPr>
            </w:pPr>
          </w:p>
          <w:p w14:paraId="66603CFC" w14:textId="15107C1F" w:rsidR="000C26F7" w:rsidRPr="000C26F7" w:rsidRDefault="000C26F7" w:rsidP="000C26F7">
            <w:pPr>
              <w:rPr>
                <w:rFonts w:asciiTheme="minorHAnsi" w:hAnsiTheme="minorHAnsi"/>
                <w:b/>
                <w:bCs/>
                <w:i/>
                <w:iCs/>
                <w:sz w:val="20"/>
                <w:szCs w:val="22"/>
              </w:rPr>
            </w:pPr>
            <w:r w:rsidRPr="000C26F7">
              <w:rPr>
                <w:rFonts w:ascii="Calibri" w:eastAsia="Calibri" w:hAnsi="Calibri"/>
                <w:b/>
                <w:bCs/>
                <w:i/>
                <w:iCs/>
                <w:sz w:val="20"/>
                <w:szCs w:val="20"/>
              </w:rPr>
              <w:t>*Assessments are to focus on what interventions best suit the person’s goals of care.</w:t>
            </w:r>
          </w:p>
          <w:p w14:paraId="1DCEB36B" w14:textId="701D0989" w:rsidR="00905C9A" w:rsidRDefault="00905C9A" w:rsidP="004D5827">
            <w:pPr>
              <w:rPr>
                <w:rFonts w:asciiTheme="minorHAnsi" w:hAnsiTheme="minorHAnsi"/>
                <w:sz w:val="20"/>
                <w:szCs w:val="22"/>
              </w:rPr>
            </w:pPr>
          </w:p>
          <w:p w14:paraId="49ABE367" w14:textId="6B78202D" w:rsidR="00F62BEB" w:rsidRPr="00094B1C" w:rsidRDefault="00094B1C" w:rsidP="00DE77EC">
            <w:pPr>
              <w:rPr>
                <w:rFonts w:asciiTheme="minorHAnsi" w:hAnsiTheme="minorHAnsi" w:cstheme="minorHAnsi"/>
                <w:sz w:val="20"/>
                <w:szCs w:val="20"/>
              </w:rPr>
            </w:pPr>
            <w:r w:rsidRPr="00094B1C">
              <w:rPr>
                <w:rFonts w:asciiTheme="minorHAnsi" w:hAnsiTheme="minorHAnsi" w:cstheme="minorHAnsi"/>
                <w:sz w:val="20"/>
                <w:szCs w:val="20"/>
              </w:rPr>
              <w:t>CAUTION: The expert panel highlighted that while assessments are critical to prepare for a transition in care, health and social service providers should avoid repeating assessments unnecessarily</w:t>
            </w:r>
            <w:r>
              <w:rPr>
                <w:rFonts w:asciiTheme="minorHAnsi" w:hAnsiTheme="minorHAnsi" w:cstheme="minorHAnsi"/>
                <w:sz w:val="20"/>
                <w:szCs w:val="20"/>
              </w:rPr>
              <w:t xml:space="preserve"> (pg. 36)</w:t>
            </w:r>
          </w:p>
          <w:p w14:paraId="45885593" w14:textId="77777777" w:rsidR="00DE77EC" w:rsidRDefault="00DE77EC" w:rsidP="00DE77EC">
            <w:pPr>
              <w:rPr>
                <w:rFonts w:asciiTheme="minorHAnsi" w:hAnsiTheme="minorHAnsi"/>
                <w:sz w:val="20"/>
                <w:szCs w:val="22"/>
              </w:rPr>
            </w:pPr>
          </w:p>
          <w:p w14:paraId="117B150A" w14:textId="623FD2D6" w:rsidR="00DE77EC" w:rsidRPr="00F62BEB" w:rsidRDefault="00DE77EC" w:rsidP="00DE77EC">
            <w:pPr>
              <w:rPr>
                <w:rFonts w:asciiTheme="minorHAnsi" w:hAnsiTheme="minorHAnsi"/>
                <w:sz w:val="20"/>
                <w:szCs w:val="22"/>
              </w:rPr>
            </w:pPr>
          </w:p>
        </w:tc>
        <w:tc>
          <w:tcPr>
            <w:tcW w:w="504" w:type="dxa"/>
            <w:tcBorders>
              <w:bottom w:val="single" w:sz="4" w:space="0" w:color="008080"/>
            </w:tcBorders>
            <w:shd w:val="clear" w:color="auto" w:fill="auto"/>
          </w:tcPr>
          <w:p w14:paraId="39E2E258" w14:textId="77777777" w:rsidR="00D12ACF" w:rsidRPr="000169BD" w:rsidRDefault="00D12ACF"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50122F45" w14:textId="77777777" w:rsidR="00D12ACF" w:rsidRPr="000169BD" w:rsidRDefault="00D12ACF"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64AC5A15" w14:textId="77777777" w:rsidR="00D12ACF" w:rsidRPr="000169BD" w:rsidRDefault="00D12ACF"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4308C6AC" w14:textId="79E12658" w:rsidR="00094B1C" w:rsidRPr="00094B1C" w:rsidRDefault="00094B1C" w:rsidP="002B6470">
            <w:pPr>
              <w:rPr>
                <w:rFonts w:asciiTheme="minorHAnsi" w:hAnsiTheme="minorHAnsi" w:cstheme="minorHAnsi"/>
                <w:sz w:val="20"/>
                <w:szCs w:val="20"/>
              </w:rPr>
            </w:pPr>
          </w:p>
        </w:tc>
      </w:tr>
      <w:tr w:rsidR="00DE0B50" w:rsidRPr="000169BD" w14:paraId="2B2C086B" w14:textId="77777777" w:rsidTr="00483C43">
        <w:trPr>
          <w:trHeight w:val="20"/>
          <w:jc w:val="center"/>
        </w:trPr>
        <w:tc>
          <w:tcPr>
            <w:tcW w:w="11520" w:type="dxa"/>
            <w:gridSpan w:val="5"/>
            <w:tcBorders>
              <w:bottom w:val="single" w:sz="4" w:space="0" w:color="008080"/>
            </w:tcBorders>
            <w:shd w:val="clear" w:color="auto" w:fill="DAEEF3" w:themeFill="accent5" w:themeFillTint="33"/>
          </w:tcPr>
          <w:p w14:paraId="6F5857C5" w14:textId="32E01E86" w:rsidR="00483C43" w:rsidRPr="00483C43" w:rsidRDefault="00475771" w:rsidP="00483C43">
            <w:pPr>
              <w:rPr>
                <w:rFonts w:asciiTheme="minorHAnsi" w:hAnsiTheme="minorHAnsi"/>
                <w:sz w:val="20"/>
                <w:szCs w:val="22"/>
              </w:rPr>
            </w:pPr>
            <w:r w:rsidRPr="00475771">
              <w:rPr>
                <w:rFonts w:asciiTheme="minorHAnsi" w:hAnsiTheme="minorHAnsi" w:cstheme="minorHAnsi"/>
                <w:b/>
                <w:color w:val="1F497D" w:themeColor="text2"/>
                <w:sz w:val="22"/>
                <w:szCs w:val="22"/>
              </w:rPr>
              <w:t xml:space="preserve">GOOD PRACTICE STATEMENT 3.0: </w:t>
            </w:r>
            <w:r w:rsidRPr="00475771">
              <w:rPr>
                <w:rFonts w:asciiTheme="minorHAnsi" w:hAnsiTheme="minorHAnsi" w:cstheme="minorHAnsi"/>
                <w:sz w:val="22"/>
                <w:szCs w:val="22"/>
              </w:rPr>
              <w:t>It is good practice that members of the interprofessional team collaborate to develop a transition plan that supports the unique needs of persons and their support network. (pg.49)</w:t>
            </w:r>
          </w:p>
        </w:tc>
      </w:tr>
      <w:tr w:rsidR="00D2367F" w:rsidRPr="000169BD" w14:paraId="53CA6416" w14:textId="77777777" w:rsidTr="00B9727C">
        <w:trPr>
          <w:trHeight w:val="20"/>
          <w:jc w:val="center"/>
        </w:trPr>
        <w:tc>
          <w:tcPr>
            <w:tcW w:w="4950" w:type="dxa"/>
            <w:tcBorders>
              <w:bottom w:val="single" w:sz="4" w:space="0" w:color="008080"/>
            </w:tcBorders>
            <w:shd w:val="clear" w:color="auto" w:fill="auto"/>
          </w:tcPr>
          <w:p w14:paraId="1A0E39D1" w14:textId="77777777" w:rsidR="00475771" w:rsidRPr="00475771" w:rsidRDefault="00475771" w:rsidP="00475771">
            <w:pPr>
              <w:rPr>
                <w:rFonts w:asciiTheme="minorHAnsi" w:hAnsiTheme="minorHAnsi" w:cstheme="minorHAnsi"/>
                <w:sz w:val="20"/>
                <w:szCs w:val="20"/>
              </w:rPr>
            </w:pPr>
            <w:r w:rsidRPr="00475771">
              <w:rPr>
                <w:rFonts w:asciiTheme="minorHAnsi" w:hAnsiTheme="minorHAnsi" w:cstheme="minorHAnsi"/>
                <w:sz w:val="20"/>
                <w:szCs w:val="20"/>
              </w:rPr>
              <w:t xml:space="preserve">Transition plans are necessary to promote continuity of care and ensure that the necessary services, supports and </w:t>
            </w:r>
            <w:r w:rsidRPr="00475771">
              <w:rPr>
                <w:rFonts w:asciiTheme="minorHAnsi" w:hAnsiTheme="minorHAnsi" w:cstheme="minorHAnsi"/>
                <w:sz w:val="20"/>
                <w:szCs w:val="20"/>
              </w:rPr>
              <w:lastRenderedPageBreak/>
              <w:t>resources have been arranged for the person encountering the transition (71).</w:t>
            </w:r>
          </w:p>
          <w:p w14:paraId="2ECCBAA1" w14:textId="77777777" w:rsidR="00475771" w:rsidRDefault="00475771" w:rsidP="00475771"/>
          <w:p w14:paraId="32974839" w14:textId="52FE74DF" w:rsidR="00475771" w:rsidRPr="00B25AC2" w:rsidRDefault="00475771" w:rsidP="00475771">
            <w:pPr>
              <w:rPr>
                <w:rFonts w:asciiTheme="minorHAnsi" w:hAnsiTheme="minorHAnsi" w:cstheme="minorHAnsi"/>
                <w:sz w:val="20"/>
                <w:szCs w:val="20"/>
              </w:rPr>
            </w:pPr>
          </w:p>
          <w:p w14:paraId="7A0581F4" w14:textId="77777777" w:rsidR="00F62BEB" w:rsidRDefault="00F62BEB" w:rsidP="00F62BEB">
            <w:pPr>
              <w:pStyle w:val="ListParagraph"/>
              <w:rPr>
                <w:rFonts w:asciiTheme="minorHAnsi" w:hAnsiTheme="minorHAnsi"/>
                <w:sz w:val="20"/>
                <w:szCs w:val="22"/>
              </w:rPr>
            </w:pPr>
          </w:p>
          <w:p w14:paraId="680E9E0E" w14:textId="46A694FF" w:rsidR="00D2367F" w:rsidRPr="000169BD" w:rsidRDefault="00D2367F" w:rsidP="00F62BEB">
            <w:pPr>
              <w:rPr>
                <w:rFonts w:asciiTheme="minorHAnsi" w:hAnsiTheme="minorHAnsi"/>
                <w:b/>
                <w:sz w:val="22"/>
                <w:szCs w:val="22"/>
              </w:rPr>
            </w:pPr>
          </w:p>
        </w:tc>
        <w:tc>
          <w:tcPr>
            <w:tcW w:w="504" w:type="dxa"/>
            <w:tcBorders>
              <w:bottom w:val="single" w:sz="4" w:space="0" w:color="008080"/>
            </w:tcBorders>
            <w:shd w:val="clear" w:color="auto" w:fill="auto"/>
          </w:tcPr>
          <w:p w14:paraId="13D2606C" w14:textId="77777777" w:rsidR="00D2367F" w:rsidRPr="000169BD" w:rsidRDefault="00D2367F"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08C9C0D7" w14:textId="77777777" w:rsidR="00D2367F" w:rsidRPr="000169BD" w:rsidRDefault="00D2367F"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3EF7B506" w14:textId="77777777" w:rsidR="00D2367F" w:rsidRPr="000169BD" w:rsidRDefault="00D2367F"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3FE87482" w14:textId="01CC2467" w:rsidR="00D951B9" w:rsidRPr="00D951B9" w:rsidRDefault="00D951B9" w:rsidP="002B6470">
            <w:pPr>
              <w:rPr>
                <w:rFonts w:asciiTheme="minorHAnsi" w:hAnsiTheme="minorHAnsi"/>
                <w:b/>
                <w:bCs/>
                <w:sz w:val="20"/>
                <w:szCs w:val="22"/>
              </w:rPr>
            </w:pPr>
          </w:p>
        </w:tc>
      </w:tr>
      <w:tr w:rsidR="00F62BEB" w:rsidRPr="000169BD" w14:paraId="0B6B57F1" w14:textId="77777777" w:rsidTr="00CD397B">
        <w:trPr>
          <w:trHeight w:val="20"/>
          <w:jc w:val="center"/>
        </w:trPr>
        <w:tc>
          <w:tcPr>
            <w:tcW w:w="11520" w:type="dxa"/>
            <w:gridSpan w:val="5"/>
            <w:tcBorders>
              <w:bottom w:val="single" w:sz="4" w:space="0" w:color="008080"/>
            </w:tcBorders>
            <w:shd w:val="clear" w:color="auto" w:fill="DAEEF3" w:themeFill="accent5" w:themeFillTint="33"/>
          </w:tcPr>
          <w:p w14:paraId="52F8BD08" w14:textId="77777777" w:rsidR="00CD397B" w:rsidRPr="00475771" w:rsidRDefault="00475771" w:rsidP="00475771">
            <w:pPr>
              <w:rPr>
                <w:rFonts w:asciiTheme="minorHAnsi" w:hAnsiTheme="minorHAnsi" w:cstheme="minorHAnsi"/>
                <w:sz w:val="22"/>
                <w:szCs w:val="22"/>
              </w:rPr>
            </w:pPr>
            <w:r w:rsidRPr="00475771">
              <w:rPr>
                <w:rFonts w:asciiTheme="minorHAnsi" w:hAnsiTheme="minorHAnsi" w:cstheme="minorHAnsi"/>
                <w:b/>
                <w:bCs/>
                <w:color w:val="1F497D" w:themeColor="text2"/>
                <w:sz w:val="22"/>
                <w:szCs w:val="22"/>
              </w:rPr>
              <w:t xml:space="preserve">RECOMMENDATION 3.1: </w:t>
            </w:r>
            <w:r w:rsidRPr="00475771">
              <w:rPr>
                <w:rFonts w:asciiTheme="minorHAnsi" w:hAnsiTheme="minorHAnsi" w:cstheme="minorHAnsi"/>
                <w:sz w:val="22"/>
                <w:szCs w:val="22"/>
              </w:rPr>
              <w:t>The expert panel suggests that health and social service organizations collaborate to implement a formal interprofessional cross-sectoral approach to support persons encountering transitions in care. (pg.54)</w:t>
            </w:r>
          </w:p>
          <w:p w14:paraId="2237DEC3" w14:textId="77777777" w:rsidR="00D951B9" w:rsidRDefault="00D951B9" w:rsidP="00475771">
            <w:pPr>
              <w:rPr>
                <w:rFonts w:asciiTheme="minorHAnsi" w:hAnsiTheme="minorHAnsi"/>
                <w:b/>
                <w:color w:val="1F497D"/>
                <w:sz w:val="16"/>
                <w:szCs w:val="16"/>
              </w:rPr>
            </w:pPr>
          </w:p>
          <w:p w14:paraId="2B78D0B9" w14:textId="6537A167" w:rsidR="00475771" w:rsidRPr="00CD397B" w:rsidRDefault="00475771" w:rsidP="00475771">
            <w:pPr>
              <w:rPr>
                <w:rFonts w:asciiTheme="minorHAnsi" w:hAnsiTheme="minorHAnsi"/>
                <w:b/>
                <w:color w:val="1F497D"/>
                <w:sz w:val="16"/>
                <w:szCs w:val="16"/>
              </w:rPr>
            </w:pPr>
            <w:r w:rsidRPr="00CD397B">
              <w:rPr>
                <w:rFonts w:asciiTheme="minorHAnsi" w:hAnsiTheme="minorHAnsi"/>
                <w:b/>
                <w:color w:val="1F497D"/>
                <w:sz w:val="16"/>
                <w:szCs w:val="16"/>
              </w:rPr>
              <w:t xml:space="preserve">Strength of recommendation: </w:t>
            </w:r>
            <w:r>
              <w:rPr>
                <w:rFonts w:asciiTheme="minorHAnsi" w:hAnsiTheme="minorHAnsi"/>
                <w:b/>
                <w:color w:val="1F497D"/>
                <w:sz w:val="16"/>
                <w:szCs w:val="16"/>
              </w:rPr>
              <w:t>Conditional</w:t>
            </w:r>
            <w:r w:rsidRPr="00CD397B">
              <w:rPr>
                <w:rFonts w:asciiTheme="minorHAnsi" w:hAnsiTheme="minorHAnsi"/>
                <w:b/>
                <w:color w:val="1F497D"/>
                <w:sz w:val="16"/>
                <w:szCs w:val="16"/>
              </w:rPr>
              <w:t xml:space="preserve">  </w:t>
            </w:r>
          </w:p>
          <w:p w14:paraId="54EC0380" w14:textId="6236A3D2" w:rsidR="00475771" w:rsidRPr="00CD397B" w:rsidRDefault="00D951B9" w:rsidP="00475771">
            <w:pPr>
              <w:rPr>
                <w:rFonts w:asciiTheme="minorHAnsi" w:hAnsiTheme="minorHAnsi"/>
                <w:b/>
                <w:color w:val="1F497D"/>
                <w:sz w:val="16"/>
                <w:szCs w:val="16"/>
              </w:rPr>
            </w:pPr>
            <w:r>
              <w:rPr>
                <w:rFonts w:asciiTheme="minorHAnsi" w:hAnsiTheme="minorHAnsi"/>
                <w:b/>
                <w:color w:val="1F497D"/>
                <w:sz w:val="16"/>
                <w:szCs w:val="16"/>
              </w:rPr>
              <w:t xml:space="preserve">Certainty </w:t>
            </w:r>
            <w:r w:rsidR="00475771" w:rsidRPr="00CD397B">
              <w:rPr>
                <w:rFonts w:asciiTheme="minorHAnsi" w:hAnsiTheme="minorHAnsi"/>
                <w:b/>
                <w:color w:val="1F497D"/>
                <w:sz w:val="16"/>
                <w:szCs w:val="16"/>
              </w:rPr>
              <w:t>of</w:t>
            </w:r>
            <w:r>
              <w:rPr>
                <w:rFonts w:asciiTheme="minorHAnsi" w:hAnsiTheme="minorHAnsi"/>
                <w:b/>
                <w:color w:val="1F497D"/>
                <w:sz w:val="16"/>
                <w:szCs w:val="16"/>
              </w:rPr>
              <w:t xml:space="preserve"> the</w:t>
            </w:r>
            <w:r w:rsidR="00475771" w:rsidRPr="00CD397B">
              <w:rPr>
                <w:rFonts w:asciiTheme="minorHAnsi" w:hAnsiTheme="minorHAnsi"/>
                <w:b/>
                <w:color w:val="1F497D"/>
                <w:sz w:val="16"/>
                <w:szCs w:val="16"/>
              </w:rPr>
              <w:t xml:space="preserve"> evidence of effects: </w:t>
            </w:r>
            <w:r>
              <w:rPr>
                <w:rFonts w:asciiTheme="minorHAnsi" w:hAnsiTheme="minorHAnsi"/>
                <w:b/>
                <w:color w:val="1F497D"/>
                <w:sz w:val="16"/>
                <w:szCs w:val="16"/>
              </w:rPr>
              <w:t>Very Low</w:t>
            </w:r>
          </w:p>
          <w:p w14:paraId="020B6D43" w14:textId="31467951" w:rsidR="00475771" w:rsidRPr="00CD397B" w:rsidRDefault="00475771" w:rsidP="00475771">
            <w:pPr>
              <w:rPr>
                <w:rFonts w:asciiTheme="minorHAnsi" w:hAnsiTheme="minorHAnsi"/>
                <w:sz w:val="20"/>
                <w:szCs w:val="22"/>
              </w:rPr>
            </w:pPr>
          </w:p>
        </w:tc>
      </w:tr>
      <w:tr w:rsidR="00011040" w:rsidRPr="000169BD" w14:paraId="3D50E318" w14:textId="77777777" w:rsidTr="00B9727C">
        <w:trPr>
          <w:trHeight w:val="20"/>
          <w:jc w:val="center"/>
        </w:trPr>
        <w:tc>
          <w:tcPr>
            <w:tcW w:w="4950" w:type="dxa"/>
            <w:tcBorders>
              <w:bottom w:val="single" w:sz="4" w:space="0" w:color="008080"/>
            </w:tcBorders>
            <w:shd w:val="clear" w:color="auto" w:fill="auto"/>
          </w:tcPr>
          <w:p w14:paraId="707DDBDF" w14:textId="46EA26FB" w:rsidR="005D465A" w:rsidRPr="00E479D4" w:rsidRDefault="005D465A" w:rsidP="005D465A">
            <w:pPr>
              <w:rPr>
                <w:rFonts w:asciiTheme="minorHAnsi" w:hAnsiTheme="minorHAnsi" w:cstheme="minorHAnsi"/>
                <w:sz w:val="20"/>
                <w:szCs w:val="20"/>
              </w:rPr>
            </w:pPr>
            <w:r w:rsidRPr="00E479D4">
              <w:rPr>
                <w:rFonts w:asciiTheme="minorHAnsi" w:hAnsiTheme="minorHAnsi" w:cstheme="minorHAnsi"/>
                <w:sz w:val="20"/>
                <w:szCs w:val="20"/>
              </w:rPr>
              <w:t>For the purposes of this BPG, an interprofessional cross-sectoral approach refers to a collaborative approach where two or more health or social service providers from different disciplines and in different sectors work together in a formal way to ensure that persons and their support network experience a safe transition in care</w:t>
            </w:r>
            <w:r w:rsidR="00F7085F" w:rsidRPr="00E479D4">
              <w:rPr>
                <w:rFonts w:asciiTheme="minorHAnsi" w:hAnsiTheme="minorHAnsi" w:cstheme="minorHAnsi"/>
                <w:sz w:val="20"/>
                <w:szCs w:val="20"/>
              </w:rPr>
              <w:t>.</w:t>
            </w:r>
          </w:p>
          <w:p w14:paraId="603703F2" w14:textId="77777777" w:rsidR="001209B5" w:rsidRPr="005D465A" w:rsidRDefault="001209B5" w:rsidP="005D465A">
            <w:pPr>
              <w:rPr>
                <w:rFonts w:asciiTheme="minorHAnsi" w:hAnsiTheme="minorHAnsi" w:cstheme="minorHAnsi"/>
                <w:sz w:val="22"/>
                <w:szCs w:val="22"/>
              </w:rPr>
            </w:pPr>
          </w:p>
          <w:p w14:paraId="1950A447" w14:textId="704ED019" w:rsidR="00011040" w:rsidRPr="00493464" w:rsidRDefault="00011040" w:rsidP="002E3E1D">
            <w:pPr>
              <w:rPr>
                <w:rFonts w:asciiTheme="minorHAnsi" w:hAnsiTheme="minorHAnsi"/>
                <w:sz w:val="20"/>
                <w:szCs w:val="22"/>
              </w:rPr>
            </w:pPr>
          </w:p>
        </w:tc>
        <w:tc>
          <w:tcPr>
            <w:tcW w:w="504" w:type="dxa"/>
            <w:tcBorders>
              <w:bottom w:val="single" w:sz="4" w:space="0" w:color="008080"/>
            </w:tcBorders>
            <w:shd w:val="clear" w:color="auto" w:fill="auto"/>
          </w:tcPr>
          <w:p w14:paraId="45BB09B1" w14:textId="77777777" w:rsidR="00011040" w:rsidRPr="000169BD" w:rsidRDefault="00011040"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336FAA3C" w14:textId="77777777" w:rsidR="00011040" w:rsidRPr="000169BD" w:rsidRDefault="00011040"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5DE29EF4" w14:textId="77777777" w:rsidR="00011040" w:rsidRPr="000169BD" w:rsidRDefault="00011040" w:rsidP="009D05B6">
            <w:pPr>
              <w:ind w:left="72"/>
              <w:rPr>
                <w:rFonts w:asciiTheme="minorHAnsi" w:hAnsiTheme="minorHAnsi"/>
                <w:sz w:val="20"/>
                <w:szCs w:val="22"/>
              </w:rPr>
            </w:pPr>
          </w:p>
        </w:tc>
        <w:tc>
          <w:tcPr>
            <w:tcW w:w="5058" w:type="dxa"/>
            <w:tcBorders>
              <w:bottom w:val="single" w:sz="4" w:space="0" w:color="008080"/>
            </w:tcBorders>
            <w:shd w:val="clear" w:color="auto" w:fill="auto"/>
          </w:tcPr>
          <w:p w14:paraId="59F8EAB4" w14:textId="2C8A31A9" w:rsidR="007E4431" w:rsidRPr="002B6470" w:rsidRDefault="007E4431" w:rsidP="002B6470">
            <w:pPr>
              <w:rPr>
                <w:rFonts w:asciiTheme="minorHAnsi" w:hAnsiTheme="minorHAnsi" w:cstheme="minorHAnsi"/>
                <w:b/>
                <w:bCs/>
                <w:sz w:val="20"/>
                <w:szCs w:val="20"/>
              </w:rPr>
            </w:pPr>
          </w:p>
        </w:tc>
      </w:tr>
      <w:tr w:rsidR="00067AEA" w:rsidRPr="000169BD" w14:paraId="38C90A51" w14:textId="77777777" w:rsidTr="00067AEA">
        <w:trPr>
          <w:trHeight w:val="20"/>
          <w:jc w:val="center"/>
        </w:trPr>
        <w:tc>
          <w:tcPr>
            <w:tcW w:w="11520" w:type="dxa"/>
            <w:gridSpan w:val="5"/>
            <w:tcBorders>
              <w:bottom w:val="single" w:sz="4" w:space="0" w:color="008080"/>
            </w:tcBorders>
            <w:shd w:val="clear" w:color="auto" w:fill="DAEEF3" w:themeFill="accent5" w:themeFillTint="33"/>
          </w:tcPr>
          <w:p w14:paraId="710002E7" w14:textId="77777777" w:rsidR="001209B5" w:rsidRPr="001209B5" w:rsidRDefault="001209B5" w:rsidP="001209B5">
            <w:pPr>
              <w:rPr>
                <w:rFonts w:asciiTheme="minorHAnsi" w:hAnsiTheme="minorHAnsi" w:cstheme="minorHAnsi"/>
                <w:sz w:val="22"/>
                <w:szCs w:val="22"/>
              </w:rPr>
            </w:pPr>
            <w:r w:rsidRPr="001209B5">
              <w:rPr>
                <w:rFonts w:asciiTheme="minorHAnsi" w:hAnsiTheme="minorHAnsi" w:cstheme="minorHAnsi"/>
                <w:b/>
                <w:bCs/>
                <w:color w:val="1F497D" w:themeColor="text2"/>
                <w:sz w:val="22"/>
                <w:szCs w:val="22"/>
              </w:rPr>
              <w:t xml:space="preserve">GOOD PRACTICE STATEMENT 4.0: </w:t>
            </w:r>
            <w:r w:rsidRPr="001209B5">
              <w:rPr>
                <w:rFonts w:asciiTheme="minorHAnsi" w:hAnsiTheme="minorHAnsi" w:cstheme="minorHAnsi"/>
                <w:sz w:val="22"/>
                <w:szCs w:val="22"/>
              </w:rPr>
              <w:t xml:space="preserve">In order to ensure medication safety, it is good practice for health providers to conduct the following in collaboration with the person encountering a transition and their support network: </w:t>
            </w:r>
          </w:p>
          <w:p w14:paraId="287C3DE6" w14:textId="77777777" w:rsidR="001209B5" w:rsidRPr="001209B5" w:rsidRDefault="001209B5" w:rsidP="001209B5">
            <w:pPr>
              <w:pStyle w:val="ListParagraph"/>
              <w:numPr>
                <w:ilvl w:val="0"/>
                <w:numId w:val="46"/>
              </w:numPr>
              <w:rPr>
                <w:rFonts w:asciiTheme="minorHAnsi" w:eastAsia="Calibri" w:hAnsiTheme="minorHAnsi" w:cstheme="minorHAnsi"/>
                <w:sz w:val="22"/>
                <w:szCs w:val="22"/>
              </w:rPr>
            </w:pPr>
            <w:r w:rsidRPr="001209B5">
              <w:rPr>
                <w:rFonts w:asciiTheme="minorHAnsi" w:eastAsia="Calibri" w:hAnsiTheme="minorHAnsi" w:cstheme="minorHAnsi"/>
                <w:sz w:val="22"/>
                <w:szCs w:val="22"/>
              </w:rPr>
              <w:t xml:space="preserve">obtain a best possible medication history; and </w:t>
            </w:r>
          </w:p>
          <w:p w14:paraId="6324D22E" w14:textId="415F5C46" w:rsidR="001209B5" w:rsidRPr="001209B5" w:rsidRDefault="001209B5" w:rsidP="001209B5">
            <w:pPr>
              <w:pStyle w:val="ListParagraph"/>
              <w:numPr>
                <w:ilvl w:val="0"/>
                <w:numId w:val="46"/>
              </w:numPr>
              <w:rPr>
                <w:rFonts w:asciiTheme="minorHAnsi" w:hAnsiTheme="minorHAnsi" w:cstheme="minorHAnsi"/>
                <w:sz w:val="22"/>
                <w:szCs w:val="22"/>
              </w:rPr>
            </w:pPr>
            <w:r w:rsidRPr="001209B5">
              <w:rPr>
                <w:rFonts w:asciiTheme="minorHAnsi" w:eastAsia="Calibri" w:hAnsiTheme="minorHAnsi" w:cstheme="minorHAnsi"/>
                <w:sz w:val="22"/>
                <w:szCs w:val="22"/>
              </w:rPr>
              <w:t>perform medication reconciliation at all transition points (pg.61)</w:t>
            </w:r>
          </w:p>
          <w:p w14:paraId="4C38C421" w14:textId="399F50C7" w:rsidR="00067AEA" w:rsidRPr="000169BD" w:rsidRDefault="00067AEA" w:rsidP="00067AEA">
            <w:pPr>
              <w:rPr>
                <w:rFonts w:asciiTheme="minorHAnsi" w:hAnsiTheme="minorHAnsi"/>
                <w:sz w:val="20"/>
                <w:szCs w:val="22"/>
              </w:rPr>
            </w:pPr>
          </w:p>
        </w:tc>
      </w:tr>
      <w:tr w:rsidR="00067AEA" w:rsidRPr="000169BD" w14:paraId="4ACCB657" w14:textId="77777777" w:rsidTr="00B9727C">
        <w:trPr>
          <w:trHeight w:val="20"/>
          <w:jc w:val="center"/>
        </w:trPr>
        <w:tc>
          <w:tcPr>
            <w:tcW w:w="4950" w:type="dxa"/>
            <w:tcBorders>
              <w:bottom w:val="single" w:sz="4" w:space="0" w:color="008080"/>
            </w:tcBorders>
            <w:shd w:val="clear" w:color="auto" w:fill="auto"/>
          </w:tcPr>
          <w:p w14:paraId="6AF8187E" w14:textId="77777777" w:rsidR="00F8291F" w:rsidRPr="00D03BB5" w:rsidRDefault="00F8291F" w:rsidP="00F8291F">
            <w:pPr>
              <w:rPr>
                <w:rFonts w:asciiTheme="minorHAnsi" w:hAnsiTheme="minorHAnsi" w:cstheme="minorHAnsi"/>
                <w:sz w:val="20"/>
                <w:szCs w:val="20"/>
              </w:rPr>
            </w:pPr>
            <w:r w:rsidRPr="00D03BB5">
              <w:rPr>
                <w:rFonts w:asciiTheme="minorHAnsi" w:hAnsiTheme="minorHAnsi" w:cstheme="minorHAnsi"/>
                <w:sz w:val="20"/>
                <w:szCs w:val="20"/>
              </w:rPr>
              <w:t>During transitions, medications are frequently stopped, adjusted or newly prescribed.</w:t>
            </w:r>
            <w:r w:rsidRPr="00D03BB5">
              <w:rPr>
                <w:sz w:val="22"/>
                <w:szCs w:val="22"/>
              </w:rPr>
              <w:t xml:space="preserve"> </w:t>
            </w:r>
            <w:r w:rsidRPr="00D03BB5">
              <w:rPr>
                <w:rFonts w:asciiTheme="minorHAnsi" w:hAnsiTheme="minorHAnsi" w:cstheme="minorHAnsi"/>
                <w:sz w:val="20"/>
                <w:szCs w:val="20"/>
              </w:rPr>
              <w:t>Communication and care processes can break down at various points during a transition in care, resulting in unintended medication errors or discrepancies (88)</w:t>
            </w:r>
          </w:p>
          <w:p w14:paraId="73F22707" w14:textId="6E0ABD35" w:rsidR="00B21BA6" w:rsidRPr="00D03BB5" w:rsidRDefault="00B21BA6" w:rsidP="00D03BB5">
            <w:pPr>
              <w:rPr>
                <w:rFonts w:asciiTheme="minorHAnsi" w:hAnsiTheme="minorHAnsi"/>
                <w:sz w:val="20"/>
                <w:szCs w:val="22"/>
              </w:rPr>
            </w:pPr>
          </w:p>
        </w:tc>
        <w:tc>
          <w:tcPr>
            <w:tcW w:w="504" w:type="dxa"/>
            <w:tcBorders>
              <w:bottom w:val="single" w:sz="4" w:space="0" w:color="008080"/>
            </w:tcBorders>
            <w:shd w:val="clear" w:color="auto" w:fill="auto"/>
          </w:tcPr>
          <w:p w14:paraId="2BD03473" w14:textId="77777777" w:rsidR="00067AEA" w:rsidRPr="000169BD" w:rsidRDefault="00067AEA"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6D78F1D2" w14:textId="77777777" w:rsidR="00067AEA" w:rsidRPr="000169BD" w:rsidRDefault="00067AEA"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53E20185" w14:textId="77777777" w:rsidR="00067AEA" w:rsidRPr="000169BD" w:rsidRDefault="00067AEA" w:rsidP="009D05B6">
            <w:pPr>
              <w:ind w:left="72"/>
              <w:rPr>
                <w:rFonts w:asciiTheme="minorHAnsi" w:hAnsiTheme="minorHAnsi"/>
                <w:sz w:val="20"/>
                <w:szCs w:val="22"/>
              </w:rPr>
            </w:pPr>
          </w:p>
        </w:tc>
        <w:tc>
          <w:tcPr>
            <w:tcW w:w="5058" w:type="dxa"/>
            <w:tcBorders>
              <w:bottom w:val="single" w:sz="4" w:space="0" w:color="008080"/>
            </w:tcBorders>
            <w:shd w:val="clear" w:color="auto" w:fill="auto"/>
          </w:tcPr>
          <w:p w14:paraId="20612B74" w14:textId="0701BBE6" w:rsidR="0067284C" w:rsidRPr="007259A6" w:rsidRDefault="0067284C" w:rsidP="002B6470">
            <w:pPr>
              <w:rPr>
                <w:rFonts w:asciiTheme="minorHAnsi" w:hAnsiTheme="minorHAnsi" w:cstheme="minorHAnsi"/>
                <w:b/>
                <w:bCs/>
                <w:sz w:val="20"/>
                <w:szCs w:val="20"/>
              </w:rPr>
            </w:pPr>
          </w:p>
        </w:tc>
      </w:tr>
      <w:tr w:rsidR="003E26FA" w:rsidRPr="000169BD" w14:paraId="55152882" w14:textId="77777777" w:rsidTr="00E71A51">
        <w:trPr>
          <w:trHeight w:val="20"/>
          <w:jc w:val="center"/>
        </w:trPr>
        <w:tc>
          <w:tcPr>
            <w:tcW w:w="4950" w:type="dxa"/>
            <w:tcBorders>
              <w:bottom w:val="single" w:sz="4" w:space="0" w:color="008080"/>
            </w:tcBorders>
            <w:shd w:val="clear" w:color="auto" w:fill="B6DDE8" w:themeFill="accent5" w:themeFillTint="66"/>
            <w:vAlign w:val="center"/>
          </w:tcPr>
          <w:p w14:paraId="2A7C0019" w14:textId="77777777" w:rsidR="00E71A51" w:rsidRDefault="003E26FA" w:rsidP="00E71A51">
            <w:pPr>
              <w:autoSpaceDE w:val="0"/>
              <w:autoSpaceDN w:val="0"/>
              <w:adjustRightInd w:val="0"/>
              <w:rPr>
                <w:rFonts w:asciiTheme="minorHAnsi" w:hAnsiTheme="minorHAnsi"/>
                <w:b/>
                <w:color w:val="003366"/>
              </w:rPr>
            </w:pPr>
            <w:r w:rsidRPr="000169BD">
              <w:rPr>
                <w:rFonts w:asciiTheme="minorHAnsi" w:hAnsiTheme="minorHAnsi"/>
                <w:b/>
                <w:color w:val="003366"/>
              </w:rPr>
              <w:t xml:space="preserve">RNAO Best Practice Guideline </w:t>
            </w:r>
            <w:r w:rsidR="00E71A51">
              <w:rPr>
                <w:rFonts w:asciiTheme="minorHAnsi" w:hAnsiTheme="minorHAnsi"/>
                <w:b/>
                <w:color w:val="003366"/>
              </w:rPr>
              <w:t>R</w:t>
            </w:r>
            <w:r w:rsidRPr="000169BD">
              <w:rPr>
                <w:rFonts w:asciiTheme="minorHAnsi" w:hAnsiTheme="minorHAnsi"/>
                <w:b/>
                <w:color w:val="003366"/>
              </w:rPr>
              <w:t>ecommendations</w:t>
            </w:r>
            <w:r>
              <w:rPr>
                <w:rFonts w:asciiTheme="minorHAnsi" w:hAnsiTheme="minorHAnsi"/>
                <w:b/>
                <w:color w:val="003366"/>
              </w:rPr>
              <w:t xml:space="preserve"> for </w:t>
            </w:r>
          </w:p>
          <w:p w14:paraId="721C8669" w14:textId="0E0F166B" w:rsidR="003E26FA" w:rsidRPr="00E71A51" w:rsidRDefault="00204484" w:rsidP="00E71A51">
            <w:pPr>
              <w:autoSpaceDE w:val="0"/>
              <w:autoSpaceDN w:val="0"/>
              <w:adjustRightInd w:val="0"/>
              <w:rPr>
                <w:rFonts w:asciiTheme="minorHAnsi" w:hAnsiTheme="minorHAnsi"/>
                <w:b/>
                <w:color w:val="003366"/>
              </w:rPr>
            </w:pPr>
            <w:r>
              <w:rPr>
                <w:rFonts w:asciiTheme="minorHAnsi" w:hAnsiTheme="minorHAnsi"/>
                <w:b/>
                <w:color w:val="003366"/>
              </w:rPr>
              <w:t>Transitions in Care and Services</w:t>
            </w:r>
          </w:p>
        </w:tc>
        <w:tc>
          <w:tcPr>
            <w:tcW w:w="504" w:type="dxa"/>
            <w:tcBorders>
              <w:bottom w:val="single" w:sz="4" w:space="0" w:color="008080"/>
            </w:tcBorders>
            <w:shd w:val="clear" w:color="auto" w:fill="B6DDE8" w:themeFill="accent5" w:themeFillTint="66"/>
            <w:textDirection w:val="btLr"/>
            <w:vAlign w:val="center"/>
          </w:tcPr>
          <w:p w14:paraId="4B5D6759" w14:textId="77777777" w:rsidR="003E26FA" w:rsidRPr="00E71A51" w:rsidRDefault="003E26FA" w:rsidP="00F81B86">
            <w:pPr>
              <w:pStyle w:val="headnote-e"/>
              <w:ind w:left="113" w:right="113"/>
              <w:jc w:val="center"/>
              <w:rPr>
                <w:rFonts w:asciiTheme="minorHAnsi" w:hAnsiTheme="minorHAnsi"/>
                <w:bCs w:val="0"/>
                <w:color w:val="003366"/>
                <w:sz w:val="24"/>
                <w:szCs w:val="24"/>
              </w:rPr>
            </w:pPr>
            <w:r w:rsidRPr="00E71A51">
              <w:rPr>
                <w:rFonts w:asciiTheme="minorHAnsi" w:hAnsiTheme="minorHAnsi"/>
                <w:bCs w:val="0"/>
                <w:color w:val="003366"/>
                <w:sz w:val="24"/>
                <w:szCs w:val="24"/>
              </w:rPr>
              <w:t>Met</w:t>
            </w:r>
          </w:p>
        </w:tc>
        <w:tc>
          <w:tcPr>
            <w:tcW w:w="504" w:type="dxa"/>
            <w:tcBorders>
              <w:bottom w:val="single" w:sz="4" w:space="0" w:color="008080"/>
            </w:tcBorders>
            <w:shd w:val="clear" w:color="auto" w:fill="B6DDE8" w:themeFill="accent5" w:themeFillTint="66"/>
            <w:textDirection w:val="btLr"/>
            <w:vAlign w:val="center"/>
          </w:tcPr>
          <w:p w14:paraId="5952AF40" w14:textId="77777777" w:rsidR="003E26FA" w:rsidRPr="00E71A51" w:rsidRDefault="003E26FA" w:rsidP="00F81B86">
            <w:pPr>
              <w:pStyle w:val="headnote-e"/>
              <w:spacing w:line="200" w:lineRule="exact"/>
              <w:ind w:left="115" w:right="115"/>
              <w:jc w:val="center"/>
              <w:rPr>
                <w:rFonts w:asciiTheme="minorHAnsi" w:hAnsiTheme="minorHAnsi"/>
                <w:bCs w:val="0"/>
                <w:color w:val="003366"/>
                <w:sz w:val="24"/>
                <w:szCs w:val="24"/>
              </w:rPr>
            </w:pPr>
            <w:r w:rsidRPr="00E71A51">
              <w:rPr>
                <w:rFonts w:asciiTheme="minorHAnsi" w:hAnsiTheme="minorHAnsi"/>
                <w:bCs w:val="0"/>
                <w:color w:val="003366"/>
                <w:sz w:val="24"/>
                <w:szCs w:val="24"/>
              </w:rPr>
              <w:t>Partially Met</w:t>
            </w:r>
          </w:p>
        </w:tc>
        <w:tc>
          <w:tcPr>
            <w:tcW w:w="504" w:type="dxa"/>
            <w:tcBorders>
              <w:bottom w:val="single" w:sz="4" w:space="0" w:color="008080"/>
            </w:tcBorders>
            <w:shd w:val="clear" w:color="auto" w:fill="B6DDE8" w:themeFill="accent5" w:themeFillTint="66"/>
            <w:textDirection w:val="btLr"/>
            <w:vAlign w:val="center"/>
          </w:tcPr>
          <w:p w14:paraId="541A15FF" w14:textId="77777777" w:rsidR="003E26FA" w:rsidRPr="00E71A51" w:rsidRDefault="003E26FA" w:rsidP="00F81B86">
            <w:pPr>
              <w:pStyle w:val="headnote-e"/>
              <w:ind w:left="113" w:right="113"/>
              <w:jc w:val="center"/>
              <w:rPr>
                <w:rFonts w:asciiTheme="minorHAnsi" w:hAnsiTheme="minorHAnsi"/>
                <w:bCs w:val="0"/>
                <w:color w:val="003366"/>
                <w:sz w:val="24"/>
                <w:szCs w:val="24"/>
              </w:rPr>
            </w:pPr>
            <w:r w:rsidRPr="00E71A51">
              <w:rPr>
                <w:rFonts w:asciiTheme="minorHAnsi" w:hAnsiTheme="minorHAnsi"/>
                <w:bCs w:val="0"/>
                <w:color w:val="003366"/>
                <w:sz w:val="24"/>
                <w:szCs w:val="24"/>
              </w:rPr>
              <w:t>Unmet</w:t>
            </w:r>
          </w:p>
        </w:tc>
        <w:tc>
          <w:tcPr>
            <w:tcW w:w="5058" w:type="dxa"/>
            <w:tcBorders>
              <w:bottom w:val="single" w:sz="4" w:space="0" w:color="008080"/>
            </w:tcBorders>
            <w:shd w:val="clear" w:color="auto" w:fill="B6DDE8" w:themeFill="accent5" w:themeFillTint="66"/>
            <w:vAlign w:val="center"/>
          </w:tcPr>
          <w:p w14:paraId="07CAB91F" w14:textId="77777777" w:rsidR="003E26FA" w:rsidRPr="00E71A51" w:rsidRDefault="003E26FA" w:rsidP="00F81B86">
            <w:pPr>
              <w:pStyle w:val="headnote-e"/>
              <w:jc w:val="center"/>
              <w:rPr>
                <w:rFonts w:asciiTheme="minorHAnsi" w:hAnsiTheme="minorHAnsi"/>
                <w:bCs w:val="0"/>
                <w:color w:val="003366"/>
                <w:sz w:val="24"/>
                <w:szCs w:val="24"/>
              </w:rPr>
            </w:pPr>
            <w:r w:rsidRPr="00E71A51">
              <w:rPr>
                <w:rFonts w:asciiTheme="minorHAnsi" w:hAnsiTheme="minorHAnsi"/>
                <w:bCs w:val="0"/>
                <w:color w:val="003366"/>
                <w:sz w:val="24"/>
                <w:szCs w:val="24"/>
              </w:rPr>
              <w:t>Notes</w:t>
            </w:r>
          </w:p>
          <w:p w14:paraId="072C99CE" w14:textId="77777777" w:rsidR="003E26FA" w:rsidRPr="00E71A51" w:rsidRDefault="003E26FA" w:rsidP="00F81B86">
            <w:pPr>
              <w:pStyle w:val="headnote-e"/>
              <w:jc w:val="center"/>
              <w:rPr>
                <w:rFonts w:asciiTheme="minorHAnsi" w:hAnsiTheme="minorHAnsi"/>
                <w:bCs w:val="0"/>
                <w:color w:val="003366"/>
                <w:sz w:val="24"/>
                <w:szCs w:val="24"/>
              </w:rPr>
            </w:pPr>
            <w:r w:rsidRPr="00E71A51">
              <w:rPr>
                <w:rFonts w:asciiTheme="minorHAnsi" w:hAnsiTheme="minorHAnsi"/>
                <w:bCs w:val="0"/>
                <w:color w:val="003366"/>
                <w:sz w:val="24"/>
                <w:szCs w:val="24"/>
              </w:rPr>
              <w:t>(Examples of what to include: is this a priority to our home, information on current practice, possible overlap with other programs or partners)</w:t>
            </w:r>
          </w:p>
        </w:tc>
      </w:tr>
      <w:tr w:rsidR="00E71A51" w:rsidRPr="000169BD" w14:paraId="62028368" w14:textId="77777777" w:rsidTr="00F81B86">
        <w:trPr>
          <w:trHeight w:val="20"/>
          <w:jc w:val="center"/>
        </w:trPr>
        <w:tc>
          <w:tcPr>
            <w:tcW w:w="11520" w:type="dxa"/>
            <w:gridSpan w:val="5"/>
            <w:tcBorders>
              <w:bottom w:val="single" w:sz="4" w:space="0" w:color="008080"/>
            </w:tcBorders>
            <w:shd w:val="clear" w:color="auto" w:fill="B6DDE8" w:themeFill="accent5" w:themeFillTint="66"/>
            <w:vAlign w:val="center"/>
          </w:tcPr>
          <w:p w14:paraId="27BFF7AB" w14:textId="0BF9A7CA" w:rsidR="00E71A51" w:rsidRPr="0025537C" w:rsidRDefault="00E71A51" w:rsidP="00F54DA3">
            <w:pPr>
              <w:ind w:left="360" w:hanging="360"/>
              <w:rPr>
                <w:rFonts w:asciiTheme="minorHAnsi" w:hAnsiTheme="minorHAnsi"/>
                <w:b/>
                <w:color w:val="1F497D"/>
                <w:sz w:val="22"/>
              </w:rPr>
            </w:pPr>
            <w:r w:rsidRPr="0025537C">
              <w:rPr>
                <w:rFonts w:asciiTheme="minorHAnsi" w:hAnsiTheme="minorHAnsi"/>
                <w:b/>
                <w:color w:val="1F497D"/>
                <w:sz w:val="22"/>
              </w:rPr>
              <w:t>GOOD PRACTICE STATEMENT</w:t>
            </w:r>
            <w:r w:rsidR="00851FB3">
              <w:rPr>
                <w:rFonts w:asciiTheme="minorHAnsi" w:hAnsiTheme="minorHAnsi"/>
                <w:b/>
                <w:color w:val="1F497D"/>
                <w:sz w:val="22"/>
              </w:rPr>
              <w:t xml:space="preserve"> 5.0</w:t>
            </w:r>
            <w:r w:rsidRPr="0025537C">
              <w:rPr>
                <w:rFonts w:asciiTheme="minorHAnsi" w:hAnsiTheme="minorHAnsi"/>
                <w:b/>
                <w:color w:val="1F497D"/>
                <w:sz w:val="22"/>
              </w:rPr>
              <w:t>:</w:t>
            </w:r>
          </w:p>
          <w:p w14:paraId="0A8D18F1" w14:textId="03A699BF" w:rsidR="00E71A51" w:rsidRPr="00851FB3" w:rsidRDefault="00851FB3" w:rsidP="00F54DA3">
            <w:pPr>
              <w:pStyle w:val="headnote-e"/>
              <w:rPr>
                <w:rFonts w:asciiTheme="minorHAnsi" w:hAnsiTheme="minorHAnsi" w:cstheme="minorHAnsi"/>
                <w:b w:val="0"/>
                <w:bCs w:val="0"/>
                <w:color w:val="003366"/>
                <w:sz w:val="24"/>
                <w:szCs w:val="24"/>
              </w:rPr>
            </w:pPr>
            <w:r w:rsidRPr="00851FB3">
              <w:rPr>
                <w:rFonts w:asciiTheme="minorHAnsi" w:hAnsiTheme="minorHAnsi" w:cstheme="minorHAnsi"/>
                <w:b w:val="0"/>
                <w:bCs w:val="0"/>
                <w:sz w:val="22"/>
                <w:szCs w:val="22"/>
              </w:rPr>
              <w:t>It is good practice for health and social service providers to provide persons and their support network with information and support to manage their needs during and after transitions in care. (pg.65)</w:t>
            </w:r>
          </w:p>
        </w:tc>
      </w:tr>
      <w:tr w:rsidR="00E71A51" w:rsidRPr="000169BD" w14:paraId="73A1338C" w14:textId="77777777" w:rsidTr="00B9727C">
        <w:trPr>
          <w:trHeight w:val="20"/>
          <w:jc w:val="center"/>
        </w:trPr>
        <w:tc>
          <w:tcPr>
            <w:tcW w:w="4950" w:type="dxa"/>
            <w:tcBorders>
              <w:bottom w:val="single" w:sz="4" w:space="0" w:color="008080"/>
            </w:tcBorders>
            <w:shd w:val="clear" w:color="auto" w:fill="auto"/>
          </w:tcPr>
          <w:p w14:paraId="43E864FB" w14:textId="77777777" w:rsidR="00851FB3" w:rsidRPr="002F1DD0" w:rsidRDefault="00851FB3" w:rsidP="00851FB3">
            <w:pPr>
              <w:rPr>
                <w:rFonts w:asciiTheme="minorHAnsi" w:hAnsiTheme="minorHAnsi" w:cstheme="minorHAnsi"/>
                <w:sz w:val="20"/>
                <w:szCs w:val="20"/>
              </w:rPr>
            </w:pPr>
            <w:r w:rsidRPr="002F1DD0">
              <w:rPr>
                <w:rFonts w:asciiTheme="minorHAnsi" w:hAnsiTheme="minorHAnsi" w:cstheme="minorHAnsi"/>
                <w:sz w:val="20"/>
                <w:szCs w:val="20"/>
              </w:rPr>
              <w:t>Health and social service providers need to provide persons and their support network with information that is clear and timely, involve and support them when making care decisions, and advocate and help them access the health care they require (93).</w:t>
            </w:r>
          </w:p>
          <w:p w14:paraId="72A8AB51" w14:textId="40AA0A5D" w:rsidR="009149A9" w:rsidRPr="009149A9" w:rsidRDefault="009149A9" w:rsidP="003E5DC1">
            <w:pPr>
              <w:rPr>
                <w:rFonts w:asciiTheme="minorHAnsi" w:hAnsiTheme="minorHAnsi"/>
                <w:sz w:val="20"/>
                <w:szCs w:val="22"/>
              </w:rPr>
            </w:pPr>
          </w:p>
        </w:tc>
        <w:tc>
          <w:tcPr>
            <w:tcW w:w="504" w:type="dxa"/>
            <w:tcBorders>
              <w:bottom w:val="single" w:sz="4" w:space="0" w:color="008080"/>
            </w:tcBorders>
            <w:shd w:val="clear" w:color="auto" w:fill="auto"/>
          </w:tcPr>
          <w:p w14:paraId="4BC1270E" w14:textId="77777777" w:rsidR="00E71A51" w:rsidRPr="000169BD" w:rsidRDefault="00E71A51"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4C041BD4" w14:textId="77777777" w:rsidR="00E71A51" w:rsidRPr="000169BD" w:rsidRDefault="00E71A51"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54AC6264" w14:textId="77777777" w:rsidR="00E71A51" w:rsidRPr="000169BD" w:rsidRDefault="00E71A51" w:rsidP="009D05B6">
            <w:pPr>
              <w:ind w:left="72"/>
              <w:rPr>
                <w:rFonts w:asciiTheme="minorHAnsi" w:hAnsiTheme="minorHAnsi"/>
                <w:sz w:val="20"/>
                <w:szCs w:val="22"/>
              </w:rPr>
            </w:pPr>
          </w:p>
        </w:tc>
        <w:tc>
          <w:tcPr>
            <w:tcW w:w="5058" w:type="dxa"/>
            <w:tcBorders>
              <w:bottom w:val="single" w:sz="4" w:space="0" w:color="008080"/>
            </w:tcBorders>
            <w:shd w:val="clear" w:color="auto" w:fill="auto"/>
          </w:tcPr>
          <w:p w14:paraId="74477004" w14:textId="63DFF611" w:rsidR="00820A61" w:rsidRPr="003E5DC1" w:rsidRDefault="00820A61" w:rsidP="002B6470">
            <w:pPr>
              <w:rPr>
                <w:rFonts w:asciiTheme="minorHAnsi" w:hAnsiTheme="minorHAnsi"/>
                <w:b/>
                <w:bCs/>
                <w:sz w:val="20"/>
                <w:szCs w:val="22"/>
              </w:rPr>
            </w:pPr>
          </w:p>
        </w:tc>
      </w:tr>
      <w:tr w:rsidR="00951C5F" w:rsidRPr="000169BD" w14:paraId="2969BC57" w14:textId="77777777" w:rsidTr="00951C5F">
        <w:trPr>
          <w:trHeight w:val="20"/>
          <w:jc w:val="center"/>
        </w:trPr>
        <w:tc>
          <w:tcPr>
            <w:tcW w:w="11520" w:type="dxa"/>
            <w:gridSpan w:val="5"/>
            <w:tcBorders>
              <w:bottom w:val="single" w:sz="4" w:space="0" w:color="008080"/>
            </w:tcBorders>
            <w:shd w:val="clear" w:color="auto" w:fill="DAEEF3" w:themeFill="accent5" w:themeFillTint="33"/>
          </w:tcPr>
          <w:p w14:paraId="0A4389DC" w14:textId="76C3D409" w:rsidR="00951C5F" w:rsidRPr="00951C5F" w:rsidRDefault="00851FB3" w:rsidP="00851FB3">
            <w:pPr>
              <w:rPr>
                <w:rFonts w:asciiTheme="minorHAnsi" w:hAnsiTheme="minorHAnsi"/>
                <w:b/>
                <w:bCs/>
                <w:color w:val="1F497D"/>
                <w:sz w:val="18"/>
                <w:szCs w:val="18"/>
              </w:rPr>
            </w:pPr>
            <w:r w:rsidRPr="001D7FA6">
              <w:rPr>
                <w:rFonts w:asciiTheme="minorHAnsi" w:hAnsiTheme="minorHAnsi"/>
                <w:b/>
                <w:bCs/>
                <w:color w:val="1F497D"/>
                <w:sz w:val="22"/>
                <w:szCs w:val="22"/>
              </w:rPr>
              <w:t xml:space="preserve">Recommendation 5.1: </w:t>
            </w:r>
            <w:r w:rsidRPr="001D7FA6">
              <w:rPr>
                <w:rFonts w:asciiTheme="minorHAnsi" w:hAnsiTheme="minorHAnsi" w:cstheme="minorHAnsi"/>
                <w:sz w:val="22"/>
                <w:szCs w:val="22"/>
              </w:rPr>
              <w:t>The expert panel suggests that navigation support be provided by health or social service providers for persons with complex care needs encountering a transition in care. This support includes regular follow-up by the provider(s) to assess and respond to the person’s current and evolving health and social care needs. (pg.68)</w:t>
            </w:r>
          </w:p>
          <w:p w14:paraId="5AB51D3B" w14:textId="77777777" w:rsidR="001D7FA6" w:rsidRDefault="001D7FA6" w:rsidP="00951C5F">
            <w:pPr>
              <w:rPr>
                <w:rFonts w:asciiTheme="minorHAnsi" w:hAnsiTheme="minorHAnsi"/>
                <w:b/>
                <w:color w:val="1F497D"/>
                <w:sz w:val="16"/>
                <w:szCs w:val="16"/>
              </w:rPr>
            </w:pPr>
          </w:p>
          <w:p w14:paraId="5C0C641C" w14:textId="226368B8" w:rsidR="00951C5F" w:rsidRPr="00CD397B" w:rsidRDefault="00951C5F" w:rsidP="00951C5F">
            <w:pPr>
              <w:rPr>
                <w:rFonts w:asciiTheme="minorHAnsi" w:hAnsiTheme="minorHAnsi"/>
                <w:b/>
                <w:color w:val="1F497D"/>
                <w:sz w:val="16"/>
                <w:szCs w:val="16"/>
              </w:rPr>
            </w:pPr>
            <w:r w:rsidRPr="00CD397B">
              <w:rPr>
                <w:rFonts w:asciiTheme="minorHAnsi" w:hAnsiTheme="minorHAnsi"/>
                <w:b/>
                <w:color w:val="1F497D"/>
                <w:sz w:val="16"/>
                <w:szCs w:val="16"/>
              </w:rPr>
              <w:t xml:space="preserve">Strength of recommendation: </w:t>
            </w:r>
            <w:r w:rsidR="001D7FA6">
              <w:rPr>
                <w:rFonts w:asciiTheme="minorHAnsi" w:hAnsiTheme="minorHAnsi"/>
                <w:b/>
                <w:color w:val="1F497D"/>
                <w:sz w:val="16"/>
                <w:szCs w:val="16"/>
              </w:rPr>
              <w:t>Conditional</w:t>
            </w:r>
            <w:r w:rsidRPr="00CD397B">
              <w:rPr>
                <w:rFonts w:asciiTheme="minorHAnsi" w:hAnsiTheme="minorHAnsi"/>
                <w:b/>
                <w:color w:val="1F497D"/>
                <w:sz w:val="16"/>
                <w:szCs w:val="16"/>
              </w:rPr>
              <w:t xml:space="preserve"> </w:t>
            </w:r>
          </w:p>
          <w:p w14:paraId="7F9244E3" w14:textId="4083FBE5" w:rsidR="00951C5F" w:rsidRPr="001D7FA6" w:rsidRDefault="001D7FA6" w:rsidP="00951C5F">
            <w:pPr>
              <w:rPr>
                <w:rFonts w:asciiTheme="minorHAnsi" w:hAnsiTheme="minorHAnsi"/>
                <w:b/>
                <w:color w:val="1F497D"/>
                <w:sz w:val="16"/>
                <w:szCs w:val="16"/>
              </w:rPr>
            </w:pPr>
            <w:r>
              <w:rPr>
                <w:rFonts w:asciiTheme="minorHAnsi" w:hAnsiTheme="minorHAnsi"/>
                <w:b/>
                <w:color w:val="1F497D"/>
                <w:sz w:val="16"/>
                <w:szCs w:val="16"/>
              </w:rPr>
              <w:t>Certainty</w:t>
            </w:r>
            <w:r w:rsidR="00951C5F" w:rsidRPr="00CD397B">
              <w:rPr>
                <w:rFonts w:asciiTheme="minorHAnsi" w:hAnsiTheme="minorHAnsi"/>
                <w:b/>
                <w:color w:val="1F497D"/>
                <w:sz w:val="16"/>
                <w:szCs w:val="16"/>
              </w:rPr>
              <w:t xml:space="preserve"> of evidence of effects: </w:t>
            </w:r>
            <w:r>
              <w:rPr>
                <w:rFonts w:asciiTheme="minorHAnsi" w:hAnsiTheme="minorHAnsi"/>
                <w:b/>
                <w:color w:val="1F497D"/>
                <w:sz w:val="16"/>
                <w:szCs w:val="16"/>
              </w:rPr>
              <w:t xml:space="preserve">Very </w:t>
            </w:r>
            <w:r w:rsidR="00951C5F" w:rsidRPr="00CD397B">
              <w:rPr>
                <w:rFonts w:asciiTheme="minorHAnsi" w:hAnsiTheme="minorHAnsi"/>
                <w:b/>
                <w:color w:val="1F497D"/>
                <w:sz w:val="16"/>
                <w:szCs w:val="16"/>
              </w:rPr>
              <w:t>Low</w:t>
            </w:r>
          </w:p>
        </w:tc>
      </w:tr>
      <w:tr w:rsidR="00E71A51" w:rsidRPr="000169BD" w14:paraId="56915ED1" w14:textId="77777777" w:rsidTr="00B9727C">
        <w:trPr>
          <w:trHeight w:val="20"/>
          <w:jc w:val="center"/>
        </w:trPr>
        <w:tc>
          <w:tcPr>
            <w:tcW w:w="4950" w:type="dxa"/>
            <w:tcBorders>
              <w:bottom w:val="single" w:sz="4" w:space="0" w:color="008080"/>
            </w:tcBorders>
            <w:shd w:val="clear" w:color="auto" w:fill="auto"/>
          </w:tcPr>
          <w:p w14:paraId="15B4214E" w14:textId="77777777" w:rsidR="00851FB3" w:rsidRPr="001D7FA6" w:rsidRDefault="00851FB3" w:rsidP="00851FB3">
            <w:pPr>
              <w:rPr>
                <w:rFonts w:asciiTheme="minorHAnsi" w:hAnsiTheme="minorHAnsi" w:cstheme="minorHAnsi"/>
                <w:sz w:val="20"/>
                <w:szCs w:val="20"/>
              </w:rPr>
            </w:pPr>
            <w:r w:rsidRPr="001D7FA6">
              <w:rPr>
                <w:rFonts w:asciiTheme="minorHAnsi" w:hAnsiTheme="minorHAnsi" w:cstheme="minorHAnsi"/>
                <w:sz w:val="20"/>
                <w:szCs w:val="20"/>
              </w:rPr>
              <w:lastRenderedPageBreak/>
              <w:t>Navigation support refers to individualized and coordinated support provided by health or social service providers to help persons and their support network overcome challenges related to navigating the health and social care system during transitions in care.</w:t>
            </w:r>
          </w:p>
          <w:p w14:paraId="3A6E6AC7" w14:textId="77777777" w:rsidR="00851FB3" w:rsidRDefault="00851FB3" w:rsidP="00851FB3">
            <w:r w:rsidRPr="001D7FA6">
              <w:rPr>
                <w:rFonts w:asciiTheme="minorHAnsi" w:hAnsiTheme="minorHAnsi" w:cstheme="minorHAnsi"/>
                <w:sz w:val="20"/>
                <w:szCs w:val="20"/>
              </w:rPr>
              <w:t>This can include providing persons with the information and resources they need to achieve their goals of care, connecting persons with other health and social service providers, helping</w:t>
            </w:r>
            <w:r>
              <w:t xml:space="preserve"> </w:t>
            </w:r>
            <w:r w:rsidRPr="001D7FA6">
              <w:rPr>
                <w:rFonts w:asciiTheme="minorHAnsi" w:hAnsiTheme="minorHAnsi" w:cstheme="minorHAnsi"/>
                <w:sz w:val="20"/>
                <w:szCs w:val="20"/>
              </w:rPr>
              <w:t>reduce barriers that prevent persons from accessing timely care, providing</w:t>
            </w:r>
            <w:r w:rsidRPr="001D7FA6">
              <w:rPr>
                <w:sz w:val="20"/>
                <w:szCs w:val="20"/>
              </w:rPr>
              <w:t xml:space="preserve"> </w:t>
            </w:r>
            <w:r w:rsidRPr="001D7FA6">
              <w:rPr>
                <w:rFonts w:asciiTheme="minorHAnsi" w:hAnsiTheme="minorHAnsi" w:cstheme="minorHAnsi"/>
                <w:sz w:val="20"/>
                <w:szCs w:val="20"/>
              </w:rPr>
              <w:t>social and emotional support, and improving access to culturally safe care</w:t>
            </w:r>
          </w:p>
          <w:p w14:paraId="39032C09" w14:textId="77777777" w:rsidR="00851FB3" w:rsidRDefault="00851FB3" w:rsidP="00851FB3"/>
          <w:p w14:paraId="0C0E2B78" w14:textId="0D1B511B" w:rsidR="00951C5F" w:rsidRPr="00951C5F" w:rsidRDefault="00851FB3" w:rsidP="00851FB3">
            <w:pPr>
              <w:rPr>
                <w:rFonts w:asciiTheme="minorHAnsi" w:hAnsiTheme="minorHAnsi"/>
                <w:sz w:val="20"/>
                <w:szCs w:val="22"/>
              </w:rPr>
            </w:pPr>
            <w:r w:rsidRPr="008A175E">
              <w:rPr>
                <w:rFonts w:ascii="Calibri" w:eastAsia="Calibri" w:hAnsi="Calibri"/>
                <w:sz w:val="20"/>
                <w:szCs w:val="20"/>
              </w:rPr>
              <w:t>Feedback should be collected from persons and their support network with respect to how well supported they feel when receiving navigation support. This will give the person and their support network an opportunity to voice any concerns.</w:t>
            </w:r>
          </w:p>
        </w:tc>
        <w:tc>
          <w:tcPr>
            <w:tcW w:w="504" w:type="dxa"/>
            <w:tcBorders>
              <w:bottom w:val="single" w:sz="4" w:space="0" w:color="008080"/>
            </w:tcBorders>
            <w:shd w:val="clear" w:color="auto" w:fill="auto"/>
          </w:tcPr>
          <w:p w14:paraId="16A66347" w14:textId="77777777" w:rsidR="00E71A51" w:rsidRPr="000169BD" w:rsidRDefault="00E71A51"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083B559E" w14:textId="77777777" w:rsidR="00E71A51" w:rsidRPr="000169BD" w:rsidRDefault="00E71A51"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67503210" w14:textId="77777777" w:rsidR="00E71A51" w:rsidRPr="000169BD" w:rsidRDefault="00E71A51" w:rsidP="009D05B6">
            <w:pPr>
              <w:ind w:left="72"/>
              <w:rPr>
                <w:rFonts w:asciiTheme="minorHAnsi" w:hAnsiTheme="minorHAnsi"/>
                <w:sz w:val="20"/>
                <w:szCs w:val="22"/>
              </w:rPr>
            </w:pPr>
          </w:p>
        </w:tc>
        <w:tc>
          <w:tcPr>
            <w:tcW w:w="5058" w:type="dxa"/>
            <w:tcBorders>
              <w:bottom w:val="single" w:sz="4" w:space="0" w:color="008080"/>
            </w:tcBorders>
            <w:shd w:val="clear" w:color="auto" w:fill="auto"/>
          </w:tcPr>
          <w:p w14:paraId="0A9D7B57" w14:textId="0F9D2A3C" w:rsidR="00684B32" w:rsidRPr="00684B32" w:rsidRDefault="00684B32" w:rsidP="002B6470">
            <w:pPr>
              <w:rPr>
                <w:rFonts w:asciiTheme="minorHAnsi" w:hAnsiTheme="minorHAnsi" w:cstheme="minorHAnsi"/>
                <w:b/>
                <w:bCs/>
                <w:sz w:val="20"/>
                <w:szCs w:val="20"/>
              </w:rPr>
            </w:pPr>
          </w:p>
        </w:tc>
      </w:tr>
      <w:tr w:rsidR="00951C5F" w:rsidRPr="000169BD" w14:paraId="09F10DF5" w14:textId="77777777" w:rsidTr="00BB2435">
        <w:trPr>
          <w:trHeight w:val="20"/>
          <w:jc w:val="center"/>
        </w:trPr>
        <w:tc>
          <w:tcPr>
            <w:tcW w:w="11520" w:type="dxa"/>
            <w:gridSpan w:val="5"/>
            <w:tcBorders>
              <w:bottom w:val="single" w:sz="4" w:space="0" w:color="008080"/>
            </w:tcBorders>
            <w:shd w:val="clear" w:color="auto" w:fill="DAEEF3" w:themeFill="accent5" w:themeFillTint="33"/>
          </w:tcPr>
          <w:p w14:paraId="21EF6A32" w14:textId="2E70BC93" w:rsidR="00951C5F" w:rsidRDefault="00851FB3" w:rsidP="00851FB3">
            <w:pPr>
              <w:rPr>
                <w:rFonts w:asciiTheme="minorHAnsi" w:hAnsiTheme="minorHAnsi"/>
                <w:b/>
                <w:bCs/>
                <w:color w:val="1F497D"/>
                <w:sz w:val="18"/>
                <w:szCs w:val="18"/>
              </w:rPr>
            </w:pPr>
            <w:r w:rsidRPr="0043715C">
              <w:rPr>
                <w:rFonts w:asciiTheme="minorHAnsi" w:hAnsiTheme="minorHAnsi"/>
                <w:b/>
                <w:bCs/>
                <w:color w:val="1F497D"/>
                <w:sz w:val="22"/>
                <w:szCs w:val="22"/>
              </w:rPr>
              <w:t>Recommendation 5.2:</w:t>
            </w:r>
            <w:r>
              <w:rPr>
                <w:rFonts w:asciiTheme="minorHAnsi" w:hAnsiTheme="minorHAnsi"/>
                <w:b/>
                <w:bCs/>
                <w:color w:val="1F497D"/>
                <w:sz w:val="18"/>
                <w:szCs w:val="18"/>
              </w:rPr>
              <w:t xml:space="preserve"> </w:t>
            </w:r>
            <w:r w:rsidRPr="0043715C">
              <w:rPr>
                <w:rFonts w:asciiTheme="minorHAnsi" w:hAnsiTheme="minorHAnsi" w:cstheme="minorHAnsi"/>
                <w:sz w:val="22"/>
                <w:szCs w:val="22"/>
              </w:rPr>
              <w:t>The expert panel suggests that peer workers with lived experience offer support to persons with mental health needs who are encountering a transition in care. (pg.76)</w:t>
            </w:r>
          </w:p>
          <w:p w14:paraId="78C9B3B6" w14:textId="77777777" w:rsidR="00BB2435" w:rsidRPr="00CD397B" w:rsidRDefault="00BB2435" w:rsidP="00BB2435">
            <w:pPr>
              <w:rPr>
                <w:rFonts w:asciiTheme="minorHAnsi" w:hAnsiTheme="minorHAnsi"/>
                <w:b/>
                <w:color w:val="1F497D"/>
                <w:sz w:val="16"/>
                <w:szCs w:val="16"/>
              </w:rPr>
            </w:pPr>
            <w:r w:rsidRPr="00CD397B">
              <w:rPr>
                <w:rFonts w:asciiTheme="minorHAnsi" w:hAnsiTheme="minorHAnsi"/>
                <w:b/>
                <w:color w:val="1F497D"/>
                <w:sz w:val="16"/>
                <w:szCs w:val="16"/>
              </w:rPr>
              <w:t xml:space="preserve">Strength of recommendation: </w:t>
            </w:r>
            <w:r>
              <w:rPr>
                <w:rFonts w:asciiTheme="minorHAnsi" w:hAnsiTheme="minorHAnsi"/>
                <w:b/>
                <w:color w:val="1F497D"/>
                <w:sz w:val="16"/>
                <w:szCs w:val="16"/>
              </w:rPr>
              <w:t xml:space="preserve">Conditional </w:t>
            </w:r>
            <w:r w:rsidRPr="00CD397B">
              <w:rPr>
                <w:rFonts w:asciiTheme="minorHAnsi" w:hAnsiTheme="minorHAnsi"/>
                <w:b/>
                <w:color w:val="1F497D"/>
                <w:sz w:val="16"/>
                <w:szCs w:val="16"/>
              </w:rPr>
              <w:t xml:space="preserve"> </w:t>
            </w:r>
          </w:p>
          <w:p w14:paraId="3F75169B" w14:textId="05A2D727" w:rsidR="00BB2435" w:rsidRPr="0043715C" w:rsidRDefault="0043715C" w:rsidP="00BB2435">
            <w:pPr>
              <w:rPr>
                <w:rFonts w:asciiTheme="minorHAnsi" w:hAnsiTheme="minorHAnsi"/>
                <w:b/>
                <w:color w:val="1F497D"/>
                <w:sz w:val="16"/>
                <w:szCs w:val="16"/>
              </w:rPr>
            </w:pPr>
            <w:r>
              <w:rPr>
                <w:rFonts w:asciiTheme="minorHAnsi" w:hAnsiTheme="minorHAnsi"/>
                <w:b/>
                <w:color w:val="1F497D"/>
                <w:sz w:val="16"/>
                <w:szCs w:val="16"/>
              </w:rPr>
              <w:t>Certainty</w:t>
            </w:r>
            <w:r w:rsidR="00BB2435">
              <w:rPr>
                <w:rFonts w:asciiTheme="minorHAnsi" w:hAnsiTheme="minorHAnsi"/>
                <w:b/>
                <w:color w:val="1F497D"/>
                <w:sz w:val="16"/>
                <w:szCs w:val="16"/>
              </w:rPr>
              <w:t xml:space="preserve"> of evidence of effects: </w:t>
            </w:r>
            <w:r>
              <w:rPr>
                <w:rFonts w:asciiTheme="minorHAnsi" w:hAnsiTheme="minorHAnsi"/>
                <w:b/>
                <w:color w:val="1F497D"/>
                <w:sz w:val="16"/>
                <w:szCs w:val="16"/>
              </w:rPr>
              <w:t xml:space="preserve">Very </w:t>
            </w:r>
            <w:r w:rsidR="00BB2435">
              <w:rPr>
                <w:rFonts w:asciiTheme="minorHAnsi" w:hAnsiTheme="minorHAnsi"/>
                <w:b/>
                <w:color w:val="1F497D"/>
                <w:sz w:val="16"/>
                <w:szCs w:val="16"/>
              </w:rPr>
              <w:t>Low</w:t>
            </w:r>
          </w:p>
        </w:tc>
      </w:tr>
      <w:tr w:rsidR="00BB2435" w:rsidRPr="000169BD" w14:paraId="4CDCE0BE" w14:textId="77777777" w:rsidTr="00BB2435">
        <w:trPr>
          <w:trHeight w:val="20"/>
          <w:jc w:val="center"/>
        </w:trPr>
        <w:tc>
          <w:tcPr>
            <w:tcW w:w="4950" w:type="dxa"/>
            <w:tcBorders>
              <w:bottom w:val="single" w:sz="4" w:space="0" w:color="008080"/>
            </w:tcBorders>
            <w:shd w:val="clear" w:color="auto" w:fill="auto"/>
          </w:tcPr>
          <w:p w14:paraId="48572B3A" w14:textId="77777777" w:rsidR="00851FB3" w:rsidRPr="0043715C" w:rsidRDefault="00851FB3" w:rsidP="00851FB3">
            <w:pPr>
              <w:rPr>
                <w:rFonts w:asciiTheme="minorHAnsi" w:hAnsiTheme="minorHAnsi" w:cstheme="minorHAnsi"/>
                <w:sz w:val="20"/>
                <w:szCs w:val="20"/>
              </w:rPr>
            </w:pPr>
            <w:r w:rsidRPr="0043715C">
              <w:rPr>
                <w:rFonts w:asciiTheme="minorHAnsi" w:hAnsiTheme="minorHAnsi" w:cstheme="minorHAnsi"/>
                <w:sz w:val="20"/>
                <w:szCs w:val="20"/>
              </w:rPr>
              <w:t>Peer workers with lived experience (hereafter referred to as “peer workers”) are non-regulated providers who have lived through experiences similar to those of their peers (e.g., a mental health challenge or illness) and are trained to support others in their journey by providing a consistent presence along with emotional and practical support (14).</w:t>
            </w:r>
          </w:p>
          <w:p w14:paraId="53222FE7" w14:textId="77777777" w:rsidR="00851FB3" w:rsidRDefault="00851FB3" w:rsidP="00851FB3"/>
          <w:p w14:paraId="4F9CF582" w14:textId="59F89270" w:rsidR="00F37F13" w:rsidRPr="00851FB3" w:rsidRDefault="00851FB3" w:rsidP="00851FB3">
            <w:pPr>
              <w:rPr>
                <w:rFonts w:asciiTheme="minorHAnsi" w:hAnsiTheme="minorHAnsi"/>
                <w:sz w:val="20"/>
                <w:szCs w:val="22"/>
              </w:rPr>
            </w:pPr>
            <w:r w:rsidRPr="00771808">
              <w:rPr>
                <w:rFonts w:ascii="Calibri" w:eastAsia="Calibri" w:hAnsi="Calibri"/>
                <w:sz w:val="20"/>
                <w:szCs w:val="20"/>
              </w:rPr>
              <w:t>Peer workers are to meet specific qualifications and possess the appropriate skills and abilities in order to provide peer support. This includes the need to have appropriate representation to address intersectionality</w:t>
            </w:r>
          </w:p>
        </w:tc>
        <w:tc>
          <w:tcPr>
            <w:tcW w:w="504" w:type="dxa"/>
            <w:tcBorders>
              <w:bottom w:val="single" w:sz="4" w:space="0" w:color="008080"/>
            </w:tcBorders>
            <w:shd w:val="clear" w:color="auto" w:fill="auto"/>
          </w:tcPr>
          <w:p w14:paraId="53836833" w14:textId="77777777" w:rsidR="00BB2435" w:rsidRPr="000169BD" w:rsidRDefault="00BB2435"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73413C8C" w14:textId="77777777" w:rsidR="00BB2435" w:rsidRPr="000169BD" w:rsidRDefault="00BB2435" w:rsidP="009D05B6">
            <w:pPr>
              <w:ind w:left="72"/>
              <w:rPr>
                <w:rFonts w:asciiTheme="minorHAnsi" w:hAnsiTheme="minorHAnsi"/>
                <w:sz w:val="20"/>
                <w:szCs w:val="22"/>
              </w:rPr>
            </w:pPr>
          </w:p>
        </w:tc>
        <w:tc>
          <w:tcPr>
            <w:tcW w:w="504" w:type="dxa"/>
            <w:tcBorders>
              <w:bottom w:val="single" w:sz="4" w:space="0" w:color="008080"/>
            </w:tcBorders>
            <w:shd w:val="clear" w:color="auto" w:fill="auto"/>
          </w:tcPr>
          <w:p w14:paraId="28BCC6C4" w14:textId="77777777" w:rsidR="00BB2435" w:rsidRPr="000169BD" w:rsidRDefault="00BB2435" w:rsidP="009D05B6">
            <w:pPr>
              <w:ind w:left="72"/>
              <w:rPr>
                <w:rFonts w:asciiTheme="minorHAnsi" w:hAnsiTheme="minorHAnsi"/>
                <w:sz w:val="20"/>
                <w:szCs w:val="22"/>
              </w:rPr>
            </w:pPr>
          </w:p>
        </w:tc>
        <w:tc>
          <w:tcPr>
            <w:tcW w:w="5058" w:type="dxa"/>
            <w:tcBorders>
              <w:bottom w:val="single" w:sz="4" w:space="0" w:color="008080"/>
            </w:tcBorders>
            <w:shd w:val="clear" w:color="auto" w:fill="auto"/>
          </w:tcPr>
          <w:p w14:paraId="6D220313" w14:textId="3463B8C9" w:rsidR="004320B4" w:rsidRPr="0043715C" w:rsidRDefault="004320B4" w:rsidP="002B6470">
            <w:pPr>
              <w:rPr>
                <w:rFonts w:asciiTheme="minorHAnsi" w:hAnsiTheme="minorHAnsi"/>
                <w:b/>
                <w:bCs/>
                <w:sz w:val="20"/>
                <w:szCs w:val="22"/>
              </w:rPr>
            </w:pPr>
          </w:p>
        </w:tc>
      </w:tr>
    </w:tbl>
    <w:p w14:paraId="1EC857F2" w14:textId="0DA12B95" w:rsidR="00AA1F06" w:rsidRDefault="00AA1F06" w:rsidP="00AD52B6">
      <w:pPr>
        <w:tabs>
          <w:tab w:val="left" w:pos="4692"/>
        </w:tabs>
        <w:jc w:val="center"/>
        <w:rPr>
          <w:rFonts w:asciiTheme="minorHAnsi" w:hAnsiTheme="minorHAnsi"/>
          <w:b/>
          <w:sz w:val="28"/>
        </w:rPr>
      </w:pPr>
    </w:p>
    <w:p w14:paraId="06E29B50" w14:textId="77777777" w:rsidR="00AA1F06" w:rsidRDefault="00AA1F06" w:rsidP="00AD52B6">
      <w:pPr>
        <w:tabs>
          <w:tab w:val="left" w:pos="4692"/>
        </w:tabs>
        <w:jc w:val="center"/>
        <w:rPr>
          <w:rFonts w:asciiTheme="minorHAnsi" w:hAnsiTheme="minorHAnsi"/>
          <w:b/>
          <w:sz w:val="28"/>
        </w:rPr>
      </w:pPr>
    </w:p>
    <w:p w14:paraId="3E6CFF9D" w14:textId="77777777" w:rsidR="00AA1F06" w:rsidRDefault="00AA1F06" w:rsidP="00AD52B6">
      <w:pPr>
        <w:tabs>
          <w:tab w:val="left" w:pos="4692"/>
        </w:tabs>
        <w:jc w:val="center"/>
        <w:rPr>
          <w:rFonts w:asciiTheme="minorHAnsi" w:hAnsiTheme="minorHAnsi"/>
          <w:b/>
          <w:sz w:val="28"/>
        </w:rPr>
      </w:pPr>
    </w:p>
    <w:p w14:paraId="769702AC" w14:textId="77777777" w:rsidR="00AA1F06" w:rsidRDefault="00AA1F06" w:rsidP="00AD52B6">
      <w:pPr>
        <w:tabs>
          <w:tab w:val="left" w:pos="4692"/>
        </w:tabs>
        <w:jc w:val="center"/>
        <w:rPr>
          <w:rFonts w:asciiTheme="minorHAnsi" w:hAnsiTheme="minorHAnsi"/>
          <w:b/>
          <w:sz w:val="28"/>
        </w:rPr>
      </w:pPr>
    </w:p>
    <w:p w14:paraId="1A4E7C1E" w14:textId="77777777" w:rsidR="00AA1F06" w:rsidRDefault="00AA1F06" w:rsidP="00AD52B6">
      <w:pPr>
        <w:tabs>
          <w:tab w:val="left" w:pos="4692"/>
        </w:tabs>
        <w:jc w:val="center"/>
        <w:rPr>
          <w:rFonts w:asciiTheme="minorHAnsi" w:hAnsiTheme="minorHAnsi"/>
          <w:b/>
          <w:sz w:val="28"/>
        </w:rPr>
      </w:pPr>
    </w:p>
    <w:p w14:paraId="4FFC59A6" w14:textId="77777777" w:rsidR="00AA1F06" w:rsidRDefault="00AA1F06" w:rsidP="00AD52B6">
      <w:pPr>
        <w:tabs>
          <w:tab w:val="left" w:pos="4692"/>
        </w:tabs>
        <w:jc w:val="center"/>
        <w:rPr>
          <w:rFonts w:asciiTheme="minorHAnsi" w:hAnsiTheme="minorHAnsi"/>
          <w:b/>
          <w:sz w:val="28"/>
        </w:rPr>
      </w:pPr>
    </w:p>
    <w:p w14:paraId="1F080B79" w14:textId="77777777" w:rsidR="00AA1F06" w:rsidRDefault="00AA1F06" w:rsidP="00AD52B6">
      <w:pPr>
        <w:tabs>
          <w:tab w:val="left" w:pos="4692"/>
        </w:tabs>
        <w:jc w:val="center"/>
        <w:rPr>
          <w:rFonts w:asciiTheme="minorHAnsi" w:hAnsiTheme="minorHAnsi"/>
          <w:b/>
          <w:sz w:val="28"/>
        </w:rPr>
      </w:pPr>
    </w:p>
    <w:sectPr w:rsidR="00AA1F06" w:rsidSect="00A807D1">
      <w:headerReference w:type="first" r:id="rId20"/>
      <w:footerReference w:type="first" r:id="rId21"/>
      <w:pgSz w:w="12240" w:h="15840"/>
      <w:pgMar w:top="720" w:right="1008" w:bottom="864" w:left="1008" w:header="576"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F11AC7" w14:textId="77777777" w:rsidR="00A807D1" w:rsidRDefault="00A807D1" w:rsidP="000258AA">
      <w:r>
        <w:separator/>
      </w:r>
    </w:p>
  </w:endnote>
  <w:endnote w:type="continuationSeparator" w:id="0">
    <w:p w14:paraId="7A8A9731" w14:textId="77777777" w:rsidR="00A807D1" w:rsidRDefault="00A807D1" w:rsidP="000258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506D4" w14:textId="77777777" w:rsidR="00F81B86" w:rsidRPr="000169BD" w:rsidRDefault="00F81B86" w:rsidP="00DE0F2F">
    <w:pPr>
      <w:pBdr>
        <w:top w:val="single" w:sz="8" w:space="1" w:color="008080"/>
      </w:pBdr>
      <w:jc w:val="center"/>
      <w:rPr>
        <w:rFonts w:asciiTheme="minorHAnsi" w:hAnsiTheme="minorHAnsi"/>
        <w:i/>
        <w:color w:val="006A65"/>
        <w:sz w:val="20"/>
      </w:rPr>
    </w:pPr>
    <w:r w:rsidRPr="000169BD">
      <w:rPr>
        <w:rFonts w:asciiTheme="minorHAnsi" w:hAnsiTheme="minorHAnsi"/>
        <w:i/>
        <w:color w:val="006A65"/>
        <w:sz w:val="20"/>
      </w:rPr>
      <w:t xml:space="preserve">Gap Analysis – Updated </w:t>
    </w:r>
    <w:r>
      <w:rPr>
        <w:rFonts w:asciiTheme="minorHAnsi" w:hAnsiTheme="minorHAnsi"/>
        <w:i/>
        <w:color w:val="006A65"/>
        <w:sz w:val="20"/>
      </w:rPr>
      <w:t>December 2020</w:t>
    </w:r>
    <w:r w:rsidRPr="000169BD">
      <w:rPr>
        <w:rFonts w:asciiTheme="minorHAnsi" w:hAnsiTheme="minorHAnsi"/>
        <w:i/>
        <w:color w:val="006A65"/>
        <w:sz w:val="20"/>
      </w:rPr>
      <w:tab/>
    </w:r>
    <w:r w:rsidRPr="000169BD">
      <w:rPr>
        <w:rFonts w:asciiTheme="minorHAnsi" w:hAnsiTheme="minorHAnsi"/>
        <w:i/>
        <w:color w:val="006A65"/>
        <w:sz w:val="20"/>
      </w:rPr>
      <w:tab/>
    </w:r>
    <w:r w:rsidRPr="000169BD">
      <w:rPr>
        <w:rFonts w:asciiTheme="minorHAnsi" w:hAnsiTheme="minorHAnsi"/>
        <w:i/>
        <w:color w:val="006A65"/>
        <w:sz w:val="20"/>
      </w:rPr>
      <w:tab/>
    </w:r>
    <w:r w:rsidRPr="000169BD">
      <w:rPr>
        <w:rFonts w:asciiTheme="minorHAnsi" w:hAnsiTheme="minorHAnsi"/>
        <w:i/>
        <w:color w:val="006A65"/>
        <w:sz w:val="20"/>
      </w:rPr>
      <w:tab/>
    </w:r>
    <w:r w:rsidRPr="000169BD">
      <w:rPr>
        <w:rFonts w:asciiTheme="minorHAnsi" w:hAnsiTheme="minorHAnsi"/>
        <w:i/>
        <w:color w:val="006A65"/>
        <w:sz w:val="20"/>
      </w:rPr>
      <w:tab/>
    </w:r>
    <w:r w:rsidRPr="000169BD">
      <w:rPr>
        <w:rFonts w:asciiTheme="minorHAnsi" w:hAnsiTheme="minorHAnsi"/>
        <w:i/>
        <w:color w:val="006A65"/>
        <w:sz w:val="20"/>
      </w:rPr>
      <w:tab/>
    </w:r>
    <w:r w:rsidRPr="000169BD">
      <w:rPr>
        <w:rFonts w:asciiTheme="minorHAnsi" w:hAnsiTheme="minorHAnsi"/>
        <w:i/>
        <w:color w:val="006A65"/>
        <w:sz w:val="20"/>
      </w:rPr>
      <w:tab/>
      <w:t xml:space="preserve">Page </w:t>
    </w:r>
    <w:r w:rsidR="007F2142" w:rsidRPr="000169BD">
      <w:rPr>
        <w:rFonts w:asciiTheme="minorHAnsi" w:hAnsiTheme="minorHAnsi"/>
        <w:i/>
        <w:color w:val="006A65"/>
        <w:sz w:val="20"/>
      </w:rPr>
      <w:fldChar w:fldCharType="begin"/>
    </w:r>
    <w:r w:rsidRPr="000169BD">
      <w:rPr>
        <w:rFonts w:asciiTheme="minorHAnsi" w:hAnsiTheme="minorHAnsi"/>
        <w:i/>
        <w:color w:val="006A65"/>
        <w:sz w:val="20"/>
      </w:rPr>
      <w:instrText xml:space="preserve"> PAGE </w:instrText>
    </w:r>
    <w:r w:rsidR="007F2142" w:rsidRPr="000169BD">
      <w:rPr>
        <w:rFonts w:asciiTheme="minorHAnsi" w:hAnsiTheme="minorHAnsi"/>
        <w:i/>
        <w:color w:val="006A65"/>
        <w:sz w:val="20"/>
      </w:rPr>
      <w:fldChar w:fldCharType="separate"/>
    </w:r>
    <w:r w:rsidR="00B52121">
      <w:rPr>
        <w:rFonts w:asciiTheme="minorHAnsi" w:hAnsiTheme="minorHAnsi"/>
        <w:i/>
        <w:noProof/>
        <w:color w:val="006A65"/>
        <w:sz w:val="20"/>
      </w:rPr>
      <w:t>16</w:t>
    </w:r>
    <w:r w:rsidR="007F2142" w:rsidRPr="000169BD">
      <w:rPr>
        <w:rFonts w:asciiTheme="minorHAnsi" w:hAnsiTheme="minorHAnsi"/>
        <w:i/>
        <w:color w:val="006A65"/>
        <w:sz w:val="20"/>
      </w:rPr>
      <w:fldChar w:fldCharType="end"/>
    </w:r>
    <w:r w:rsidRPr="000169BD">
      <w:rPr>
        <w:rFonts w:asciiTheme="minorHAnsi" w:hAnsiTheme="minorHAnsi"/>
        <w:i/>
        <w:color w:val="006A65"/>
        <w:sz w:val="20"/>
      </w:rPr>
      <w:t xml:space="preserve"> of </w:t>
    </w:r>
    <w:r w:rsidR="007F2142" w:rsidRPr="000169BD">
      <w:rPr>
        <w:rFonts w:asciiTheme="minorHAnsi" w:hAnsiTheme="minorHAnsi"/>
        <w:i/>
        <w:color w:val="006A65"/>
        <w:sz w:val="20"/>
      </w:rPr>
      <w:fldChar w:fldCharType="begin"/>
    </w:r>
    <w:r w:rsidRPr="000169BD">
      <w:rPr>
        <w:rFonts w:asciiTheme="minorHAnsi" w:hAnsiTheme="minorHAnsi"/>
        <w:i/>
        <w:color w:val="006A65"/>
        <w:sz w:val="20"/>
      </w:rPr>
      <w:instrText xml:space="preserve"> NUMPAGES  </w:instrText>
    </w:r>
    <w:r w:rsidR="007F2142" w:rsidRPr="000169BD">
      <w:rPr>
        <w:rFonts w:asciiTheme="minorHAnsi" w:hAnsiTheme="minorHAnsi"/>
        <w:i/>
        <w:color w:val="006A65"/>
        <w:sz w:val="20"/>
      </w:rPr>
      <w:fldChar w:fldCharType="separate"/>
    </w:r>
    <w:r w:rsidR="00B52121">
      <w:rPr>
        <w:rFonts w:asciiTheme="minorHAnsi" w:hAnsiTheme="minorHAnsi"/>
        <w:i/>
        <w:noProof/>
        <w:color w:val="006A65"/>
        <w:sz w:val="20"/>
      </w:rPr>
      <w:t>16</w:t>
    </w:r>
    <w:r w:rsidR="007F2142" w:rsidRPr="000169BD">
      <w:rPr>
        <w:rFonts w:asciiTheme="minorHAnsi" w:hAnsiTheme="minorHAnsi"/>
        <w:i/>
        <w:color w:val="006A65"/>
        <w:sz w:val="20"/>
      </w:rPr>
      <w:fldChar w:fldCharType="end"/>
    </w:r>
  </w:p>
  <w:p w14:paraId="00B9FCFF" w14:textId="77777777" w:rsidR="004C393B" w:rsidRDefault="004C393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21FD0" w14:textId="77777777" w:rsidR="0039450A" w:rsidRPr="004F0B9C" w:rsidRDefault="0039450A" w:rsidP="004F0B9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DC1F7" w14:textId="503A1BC7" w:rsidR="00F81B86" w:rsidRPr="000169BD" w:rsidRDefault="00F81B86" w:rsidP="00DE0F2F">
    <w:pPr>
      <w:pBdr>
        <w:top w:val="single" w:sz="8" w:space="1" w:color="008080"/>
      </w:pBdr>
      <w:jc w:val="center"/>
      <w:rPr>
        <w:rFonts w:asciiTheme="minorHAnsi" w:hAnsiTheme="minorHAnsi"/>
        <w:i/>
        <w:color w:val="006A65"/>
        <w:sz w:val="20"/>
      </w:rPr>
    </w:pPr>
    <w:r w:rsidRPr="000169BD">
      <w:rPr>
        <w:rFonts w:asciiTheme="minorHAnsi" w:hAnsiTheme="minorHAnsi"/>
        <w:i/>
        <w:color w:val="006A65"/>
        <w:sz w:val="20"/>
      </w:rPr>
      <w:t xml:space="preserve">Gap Analysis – Updated </w:t>
    </w:r>
    <w:r>
      <w:rPr>
        <w:rFonts w:asciiTheme="minorHAnsi" w:hAnsiTheme="minorHAnsi"/>
        <w:i/>
        <w:color w:val="006A65"/>
        <w:sz w:val="20"/>
      </w:rPr>
      <w:t>September</w:t>
    </w:r>
    <w:r w:rsidRPr="000169BD">
      <w:rPr>
        <w:rFonts w:asciiTheme="minorHAnsi" w:hAnsiTheme="minorHAnsi"/>
        <w:i/>
        <w:color w:val="006A65"/>
        <w:sz w:val="20"/>
      </w:rPr>
      <w:t xml:space="preserve"> 20</w:t>
    </w:r>
    <w:r w:rsidR="000C26F7">
      <w:rPr>
        <w:rFonts w:asciiTheme="minorHAnsi" w:hAnsiTheme="minorHAnsi"/>
        <w:i/>
        <w:color w:val="006A65"/>
        <w:sz w:val="20"/>
      </w:rPr>
      <w:t>2</w:t>
    </w:r>
    <w:r w:rsidRPr="000169BD">
      <w:rPr>
        <w:rFonts w:asciiTheme="minorHAnsi" w:hAnsiTheme="minorHAnsi"/>
        <w:i/>
        <w:color w:val="006A65"/>
        <w:sz w:val="20"/>
      </w:rPr>
      <w:t>3</w:t>
    </w:r>
    <w:r w:rsidRPr="000169BD">
      <w:rPr>
        <w:rFonts w:asciiTheme="minorHAnsi" w:hAnsiTheme="minorHAnsi"/>
        <w:i/>
        <w:color w:val="006A65"/>
        <w:sz w:val="20"/>
      </w:rPr>
      <w:tab/>
    </w:r>
    <w:r w:rsidRPr="000169BD">
      <w:rPr>
        <w:rFonts w:asciiTheme="minorHAnsi" w:hAnsiTheme="minorHAnsi"/>
        <w:i/>
        <w:color w:val="006A65"/>
        <w:sz w:val="20"/>
      </w:rPr>
      <w:tab/>
    </w:r>
    <w:r w:rsidRPr="000169BD">
      <w:rPr>
        <w:rFonts w:asciiTheme="minorHAnsi" w:hAnsiTheme="minorHAnsi"/>
        <w:i/>
        <w:color w:val="006A65"/>
        <w:sz w:val="20"/>
      </w:rPr>
      <w:tab/>
    </w:r>
    <w:r w:rsidRPr="000169BD">
      <w:rPr>
        <w:rFonts w:asciiTheme="minorHAnsi" w:hAnsiTheme="minorHAnsi"/>
        <w:i/>
        <w:color w:val="006A65"/>
        <w:sz w:val="20"/>
      </w:rPr>
      <w:tab/>
    </w:r>
    <w:r w:rsidRPr="000169BD">
      <w:rPr>
        <w:rFonts w:asciiTheme="minorHAnsi" w:hAnsiTheme="minorHAnsi"/>
        <w:i/>
        <w:color w:val="006A65"/>
        <w:sz w:val="20"/>
      </w:rPr>
      <w:tab/>
    </w:r>
    <w:r w:rsidRPr="000169BD">
      <w:rPr>
        <w:rFonts w:asciiTheme="minorHAnsi" w:hAnsiTheme="minorHAnsi"/>
        <w:i/>
        <w:color w:val="006A65"/>
        <w:sz w:val="20"/>
      </w:rPr>
      <w:tab/>
    </w:r>
    <w:r w:rsidRPr="000169BD">
      <w:rPr>
        <w:rFonts w:asciiTheme="minorHAnsi" w:hAnsiTheme="minorHAnsi"/>
        <w:i/>
        <w:color w:val="006A65"/>
        <w:sz w:val="20"/>
      </w:rPr>
      <w:tab/>
    </w:r>
    <w:r w:rsidRPr="000169BD">
      <w:rPr>
        <w:rFonts w:asciiTheme="minorHAnsi" w:hAnsiTheme="minorHAnsi"/>
        <w:i/>
        <w:color w:val="006A65"/>
        <w:sz w:val="20"/>
      </w:rPr>
      <w:tab/>
      <w:t xml:space="preserve">Page </w:t>
    </w:r>
    <w:r w:rsidR="007F2142" w:rsidRPr="000169BD">
      <w:rPr>
        <w:rFonts w:asciiTheme="minorHAnsi" w:hAnsiTheme="minorHAnsi"/>
        <w:i/>
        <w:color w:val="006A65"/>
        <w:sz w:val="20"/>
      </w:rPr>
      <w:fldChar w:fldCharType="begin"/>
    </w:r>
    <w:r w:rsidRPr="000169BD">
      <w:rPr>
        <w:rFonts w:asciiTheme="minorHAnsi" w:hAnsiTheme="minorHAnsi"/>
        <w:i/>
        <w:color w:val="006A65"/>
        <w:sz w:val="20"/>
      </w:rPr>
      <w:instrText xml:space="preserve"> PAGE </w:instrText>
    </w:r>
    <w:r w:rsidR="007F2142" w:rsidRPr="000169BD">
      <w:rPr>
        <w:rFonts w:asciiTheme="minorHAnsi" w:hAnsiTheme="minorHAnsi"/>
        <w:i/>
        <w:color w:val="006A65"/>
        <w:sz w:val="20"/>
      </w:rPr>
      <w:fldChar w:fldCharType="separate"/>
    </w:r>
    <w:r w:rsidR="00B52121">
      <w:rPr>
        <w:rFonts w:asciiTheme="minorHAnsi" w:hAnsiTheme="minorHAnsi"/>
        <w:i/>
        <w:noProof/>
        <w:color w:val="006A65"/>
        <w:sz w:val="20"/>
      </w:rPr>
      <w:t>3</w:t>
    </w:r>
    <w:r w:rsidR="007F2142" w:rsidRPr="000169BD">
      <w:rPr>
        <w:rFonts w:asciiTheme="minorHAnsi" w:hAnsiTheme="minorHAnsi"/>
        <w:i/>
        <w:color w:val="006A65"/>
        <w:sz w:val="20"/>
      </w:rPr>
      <w:fldChar w:fldCharType="end"/>
    </w:r>
    <w:r w:rsidRPr="000169BD">
      <w:rPr>
        <w:rFonts w:asciiTheme="minorHAnsi" w:hAnsiTheme="minorHAnsi"/>
        <w:i/>
        <w:color w:val="006A65"/>
        <w:sz w:val="20"/>
      </w:rPr>
      <w:t xml:space="preserve"> of </w:t>
    </w:r>
    <w:r w:rsidR="007F2142" w:rsidRPr="000169BD">
      <w:rPr>
        <w:rFonts w:asciiTheme="minorHAnsi" w:hAnsiTheme="minorHAnsi"/>
        <w:i/>
        <w:color w:val="006A65"/>
        <w:sz w:val="20"/>
      </w:rPr>
      <w:fldChar w:fldCharType="begin"/>
    </w:r>
    <w:r w:rsidRPr="000169BD">
      <w:rPr>
        <w:rFonts w:asciiTheme="minorHAnsi" w:hAnsiTheme="minorHAnsi"/>
        <w:i/>
        <w:color w:val="006A65"/>
        <w:sz w:val="20"/>
      </w:rPr>
      <w:instrText xml:space="preserve"> NUMPAGES  </w:instrText>
    </w:r>
    <w:r w:rsidR="007F2142" w:rsidRPr="000169BD">
      <w:rPr>
        <w:rFonts w:asciiTheme="minorHAnsi" w:hAnsiTheme="minorHAnsi"/>
        <w:i/>
        <w:color w:val="006A65"/>
        <w:sz w:val="20"/>
      </w:rPr>
      <w:fldChar w:fldCharType="separate"/>
    </w:r>
    <w:r w:rsidR="00B52121">
      <w:rPr>
        <w:rFonts w:asciiTheme="minorHAnsi" w:hAnsiTheme="minorHAnsi"/>
        <w:i/>
        <w:noProof/>
        <w:color w:val="006A65"/>
        <w:sz w:val="20"/>
      </w:rPr>
      <w:t>3</w:t>
    </w:r>
    <w:r w:rsidR="007F2142" w:rsidRPr="000169BD">
      <w:rPr>
        <w:rFonts w:asciiTheme="minorHAnsi" w:hAnsiTheme="minorHAnsi"/>
        <w:i/>
        <w:color w:val="006A65"/>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8CED20" w14:textId="77777777" w:rsidR="00A807D1" w:rsidRDefault="00A807D1" w:rsidP="000258AA">
      <w:r>
        <w:separator/>
      </w:r>
    </w:p>
  </w:footnote>
  <w:footnote w:type="continuationSeparator" w:id="0">
    <w:p w14:paraId="3F60B511" w14:textId="77777777" w:rsidR="00A807D1" w:rsidRDefault="00A807D1" w:rsidP="000258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636A0" w14:textId="77777777" w:rsidR="00F81B86" w:rsidRPr="002A668C" w:rsidRDefault="00F81B86" w:rsidP="002A668C">
    <w:pPr>
      <w:jc w:val="center"/>
      <w:rPr>
        <w:rFonts w:asciiTheme="minorHAnsi" w:hAnsiTheme="minorHAnsi"/>
        <w:b/>
        <w:color w:val="003366"/>
        <w:szCs w:val="36"/>
      </w:rPr>
    </w:pPr>
    <w:r w:rsidRPr="00627202">
      <w:rPr>
        <w:rFonts w:asciiTheme="minorHAnsi" w:hAnsiTheme="minorHAnsi"/>
        <w:b/>
        <w:color w:val="003366"/>
        <w:szCs w:val="36"/>
      </w:rPr>
      <w:t>Gap Analysis Work Sheet</w:t>
    </w:r>
    <w:r>
      <w:rPr>
        <w:rFonts w:asciiTheme="minorHAnsi" w:hAnsiTheme="minorHAnsi"/>
        <w:b/>
        <w:color w:val="003366"/>
        <w:szCs w:val="36"/>
      </w:rPr>
      <w:t xml:space="preserve">: </w:t>
    </w:r>
    <w:r w:rsidRPr="002A668C">
      <w:rPr>
        <w:rFonts w:asciiTheme="minorHAnsi" w:hAnsiTheme="minorHAnsi"/>
        <w:b/>
        <w:color w:val="003366"/>
        <w:szCs w:val="36"/>
      </w:rPr>
      <w:t>A Proactive Approach to Bladder and Bowel Management Fourth Edition</w:t>
    </w:r>
  </w:p>
  <w:p w14:paraId="7C5A757B" w14:textId="77777777" w:rsidR="00F81B86" w:rsidRPr="002A668C" w:rsidRDefault="00F81B86" w:rsidP="002A668C">
    <w:pPr>
      <w:jc w:val="center"/>
      <w:rPr>
        <w:rFonts w:asciiTheme="minorHAnsi" w:hAnsiTheme="minorHAnsi"/>
        <w:b/>
        <w:color w:val="003366"/>
        <w:szCs w:val="36"/>
      </w:rPr>
    </w:pPr>
    <w:r w:rsidRPr="002A668C">
      <w:rPr>
        <w:rFonts w:asciiTheme="minorHAnsi" w:hAnsiTheme="minorHAnsi"/>
        <w:b/>
        <w:color w:val="003366"/>
        <w:szCs w:val="36"/>
      </w:rPr>
      <w:t>Revised 2020</w:t>
    </w:r>
  </w:p>
  <w:p w14:paraId="3559FC53" w14:textId="77777777" w:rsidR="00F81B86" w:rsidRDefault="00F81B86" w:rsidP="00BB2AEF">
    <w:pPr>
      <w:pStyle w:val="Header"/>
      <w:spacing w:after="120"/>
      <w:jc w:val="center"/>
    </w:pPr>
  </w:p>
  <w:p w14:paraId="4B39DBA3" w14:textId="77777777" w:rsidR="004C393B" w:rsidRDefault="004C393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D1FE2" w14:textId="77777777" w:rsidR="0039450A" w:rsidRPr="0046447B" w:rsidRDefault="0039450A" w:rsidP="0046447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D737A" w14:textId="49C9AF93" w:rsidR="00F81B86" w:rsidRPr="000169BD" w:rsidRDefault="00F81B86" w:rsidP="000169BD">
    <w:pPr>
      <w:pStyle w:val="Header"/>
      <w:jc w:val="center"/>
    </w:pPr>
    <w:r w:rsidRPr="00627202">
      <w:rPr>
        <w:rFonts w:asciiTheme="minorHAnsi" w:hAnsiTheme="minorHAnsi"/>
        <w:b/>
        <w:color w:val="003366"/>
        <w:szCs w:val="36"/>
      </w:rPr>
      <w:t>Gap Analysis Work Sheet</w:t>
    </w:r>
    <w:r>
      <w:rPr>
        <w:rFonts w:asciiTheme="minorHAnsi" w:hAnsiTheme="minorHAnsi"/>
        <w:b/>
        <w:color w:val="003366"/>
        <w:szCs w:val="36"/>
      </w:rPr>
      <w:t xml:space="preserve">: </w:t>
    </w:r>
    <w:r w:rsidR="001D0D9A">
      <w:rPr>
        <w:rFonts w:asciiTheme="minorHAnsi" w:hAnsiTheme="minorHAnsi"/>
        <w:b/>
        <w:color w:val="003366"/>
        <w:szCs w:val="36"/>
      </w:rPr>
      <w:t>Transitions in Care and Services, 2</w:t>
    </w:r>
    <w:r w:rsidR="001D0D9A" w:rsidRPr="001D0D9A">
      <w:rPr>
        <w:rFonts w:asciiTheme="minorHAnsi" w:hAnsiTheme="minorHAnsi"/>
        <w:b/>
        <w:color w:val="003366"/>
        <w:szCs w:val="36"/>
        <w:vertAlign w:val="superscript"/>
      </w:rPr>
      <w:t>nd</w:t>
    </w:r>
    <w:r w:rsidR="001D0D9A">
      <w:rPr>
        <w:rFonts w:asciiTheme="minorHAnsi" w:hAnsiTheme="minorHAnsi"/>
        <w:b/>
        <w:color w:val="003366"/>
        <w:szCs w:val="36"/>
      </w:rPr>
      <w:t xml:space="preserve"> edition,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F2D01"/>
    <w:multiLevelType w:val="hybridMultilevel"/>
    <w:tmpl w:val="62E2154A"/>
    <w:lvl w:ilvl="0" w:tplc="12FA6DD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636606"/>
    <w:multiLevelType w:val="hybridMultilevel"/>
    <w:tmpl w:val="694CF4C0"/>
    <w:lvl w:ilvl="0" w:tplc="12FA6DD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3D4CA1"/>
    <w:multiLevelType w:val="hybridMultilevel"/>
    <w:tmpl w:val="0A129E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C8926BC"/>
    <w:multiLevelType w:val="hybridMultilevel"/>
    <w:tmpl w:val="681EADC8"/>
    <w:lvl w:ilvl="0" w:tplc="12FA6DD0">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0D5538"/>
    <w:multiLevelType w:val="hybridMultilevel"/>
    <w:tmpl w:val="122EE246"/>
    <w:lvl w:ilvl="0" w:tplc="12FA6DD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7A0AF6"/>
    <w:multiLevelType w:val="hybridMultilevel"/>
    <w:tmpl w:val="6A70A692"/>
    <w:lvl w:ilvl="0" w:tplc="12FA6DD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061D1E"/>
    <w:multiLevelType w:val="hybridMultilevel"/>
    <w:tmpl w:val="588A092A"/>
    <w:lvl w:ilvl="0" w:tplc="10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64E53EF"/>
    <w:multiLevelType w:val="hybridMultilevel"/>
    <w:tmpl w:val="917CC5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9B57BDD"/>
    <w:multiLevelType w:val="hybridMultilevel"/>
    <w:tmpl w:val="42148A50"/>
    <w:lvl w:ilvl="0" w:tplc="12FA6DD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7044A7"/>
    <w:multiLevelType w:val="hybridMultilevel"/>
    <w:tmpl w:val="270E95CC"/>
    <w:lvl w:ilvl="0" w:tplc="5D2027C4">
      <w:start w:val="1"/>
      <w:numFmt w:val="decimal"/>
      <w:lvlText w:val="%1."/>
      <w:lvlJc w:val="left"/>
      <w:pPr>
        <w:ind w:left="990" w:hanging="360"/>
      </w:pPr>
      <w:rPr>
        <w:rFonts w:hint="default"/>
        <w:b w:val="0"/>
        <w:i w:val="0"/>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22B70340"/>
    <w:multiLevelType w:val="hybridMultilevel"/>
    <w:tmpl w:val="A240EC54"/>
    <w:lvl w:ilvl="0" w:tplc="12FA6DD0">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38A109D"/>
    <w:multiLevelType w:val="hybridMultilevel"/>
    <w:tmpl w:val="2C0A04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E77146"/>
    <w:multiLevelType w:val="hybridMultilevel"/>
    <w:tmpl w:val="E3886C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216A01"/>
    <w:multiLevelType w:val="hybridMultilevel"/>
    <w:tmpl w:val="0208600C"/>
    <w:lvl w:ilvl="0" w:tplc="12FA6DD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3C7454"/>
    <w:multiLevelType w:val="hybridMultilevel"/>
    <w:tmpl w:val="04904BEA"/>
    <w:lvl w:ilvl="0" w:tplc="12FA6DD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942910"/>
    <w:multiLevelType w:val="hybridMultilevel"/>
    <w:tmpl w:val="270E95CC"/>
    <w:lvl w:ilvl="0" w:tplc="5D2027C4">
      <w:start w:val="1"/>
      <w:numFmt w:val="decimal"/>
      <w:lvlText w:val="%1."/>
      <w:lvlJc w:val="left"/>
      <w:pPr>
        <w:ind w:left="1260" w:hanging="360"/>
      </w:pPr>
      <w:rPr>
        <w:rFonts w:hint="default"/>
        <w:b w:val="0"/>
        <w:i w:val="0"/>
        <w:sz w:val="2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6" w15:restartNumberingAfterBreak="0">
    <w:nsid w:val="2EFD5DFC"/>
    <w:multiLevelType w:val="hybridMultilevel"/>
    <w:tmpl w:val="8F6A5034"/>
    <w:lvl w:ilvl="0" w:tplc="12FA6DD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BB484B"/>
    <w:multiLevelType w:val="hybridMultilevel"/>
    <w:tmpl w:val="6AF4B0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2E1AD5"/>
    <w:multiLevelType w:val="hybridMultilevel"/>
    <w:tmpl w:val="441E8BF0"/>
    <w:lvl w:ilvl="0" w:tplc="12FA6DD0">
      <w:start w:val="1"/>
      <w:numFmt w:val="bullet"/>
      <w:lvlText w:val=""/>
      <w:lvlJc w:val="left"/>
      <w:pPr>
        <w:ind w:left="761" w:hanging="360"/>
      </w:pPr>
      <w:rPr>
        <w:rFonts w:ascii="Wingdings" w:hAnsi="Wingdings"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19" w15:restartNumberingAfterBreak="0">
    <w:nsid w:val="383D2D9D"/>
    <w:multiLevelType w:val="hybridMultilevel"/>
    <w:tmpl w:val="1188143C"/>
    <w:lvl w:ilvl="0" w:tplc="12FA6DD0">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B110A1"/>
    <w:multiLevelType w:val="hybridMultilevel"/>
    <w:tmpl w:val="2E862778"/>
    <w:lvl w:ilvl="0" w:tplc="12FA6DD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CD0734"/>
    <w:multiLevelType w:val="hybridMultilevel"/>
    <w:tmpl w:val="93FA4E0C"/>
    <w:lvl w:ilvl="0" w:tplc="12FA6DD0">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0E0D16"/>
    <w:multiLevelType w:val="hybridMultilevel"/>
    <w:tmpl w:val="8C04E9DC"/>
    <w:lvl w:ilvl="0" w:tplc="12FA6DD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01783F"/>
    <w:multiLevelType w:val="hybridMultilevel"/>
    <w:tmpl w:val="938A86F8"/>
    <w:lvl w:ilvl="0" w:tplc="12FA6DD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F46E76"/>
    <w:multiLevelType w:val="hybridMultilevel"/>
    <w:tmpl w:val="EA568A10"/>
    <w:lvl w:ilvl="0" w:tplc="12FA6DD0">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E60D34"/>
    <w:multiLevelType w:val="hybridMultilevel"/>
    <w:tmpl w:val="4EA44E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4AD929F8"/>
    <w:multiLevelType w:val="hybridMultilevel"/>
    <w:tmpl w:val="6DD623E8"/>
    <w:lvl w:ilvl="0" w:tplc="12FA6DD0">
      <w:start w:val="1"/>
      <w:numFmt w:val="bullet"/>
      <w:lvlText w:val=""/>
      <w:lvlJc w:val="left"/>
      <w:pPr>
        <w:ind w:left="43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7" w15:restartNumberingAfterBreak="0">
    <w:nsid w:val="4CF9220C"/>
    <w:multiLevelType w:val="hybridMultilevel"/>
    <w:tmpl w:val="C06ED6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4E3348BB"/>
    <w:multiLevelType w:val="hybridMultilevel"/>
    <w:tmpl w:val="C55E2D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4EF01364"/>
    <w:multiLevelType w:val="hybridMultilevel"/>
    <w:tmpl w:val="4CDE6C52"/>
    <w:lvl w:ilvl="0" w:tplc="12FA6DD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856E7A"/>
    <w:multiLevelType w:val="hybridMultilevel"/>
    <w:tmpl w:val="0DF258DA"/>
    <w:lvl w:ilvl="0" w:tplc="12FA6DD0">
      <w:start w:val="1"/>
      <w:numFmt w:val="bullet"/>
      <w:lvlText w:val=""/>
      <w:lvlJc w:val="left"/>
      <w:pPr>
        <w:ind w:left="761" w:hanging="360"/>
      </w:pPr>
      <w:rPr>
        <w:rFonts w:ascii="Wingdings" w:hAnsi="Wingdings"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31" w15:restartNumberingAfterBreak="0">
    <w:nsid w:val="534E0D93"/>
    <w:multiLevelType w:val="hybridMultilevel"/>
    <w:tmpl w:val="F0208B90"/>
    <w:lvl w:ilvl="0" w:tplc="12FA6DD0">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ED42FC"/>
    <w:multiLevelType w:val="hybridMultilevel"/>
    <w:tmpl w:val="B9A4634C"/>
    <w:lvl w:ilvl="0" w:tplc="12FA6DD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5126423"/>
    <w:multiLevelType w:val="hybridMultilevel"/>
    <w:tmpl w:val="9E2ED9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591B2E88"/>
    <w:multiLevelType w:val="multilevel"/>
    <w:tmpl w:val="9C38808E"/>
    <w:lvl w:ilvl="0">
      <w:start w:val="2"/>
      <w:numFmt w:val="decimal"/>
      <w:lvlText w:val="%1"/>
      <w:lvlJc w:val="left"/>
      <w:pPr>
        <w:ind w:left="360" w:hanging="360"/>
      </w:pPr>
      <w:rPr>
        <w:rFonts w:hint="default"/>
        <w:b/>
        <w:color w:val="1F497D"/>
        <w:sz w:val="22"/>
      </w:rPr>
    </w:lvl>
    <w:lvl w:ilvl="1">
      <w:start w:val="1"/>
      <w:numFmt w:val="decimal"/>
      <w:lvlText w:val="%1.%2"/>
      <w:lvlJc w:val="left"/>
      <w:pPr>
        <w:ind w:left="432" w:hanging="360"/>
      </w:pPr>
      <w:rPr>
        <w:rFonts w:hint="default"/>
        <w:b/>
        <w:color w:val="1F497D"/>
        <w:sz w:val="22"/>
      </w:rPr>
    </w:lvl>
    <w:lvl w:ilvl="2">
      <w:start w:val="1"/>
      <w:numFmt w:val="decimal"/>
      <w:lvlText w:val="%1.%2.%3"/>
      <w:lvlJc w:val="left"/>
      <w:pPr>
        <w:ind w:left="864" w:hanging="720"/>
      </w:pPr>
      <w:rPr>
        <w:rFonts w:hint="default"/>
        <w:b/>
        <w:color w:val="1F497D"/>
        <w:sz w:val="22"/>
      </w:rPr>
    </w:lvl>
    <w:lvl w:ilvl="3">
      <w:start w:val="1"/>
      <w:numFmt w:val="decimal"/>
      <w:lvlText w:val="%1.%2.%3.%4"/>
      <w:lvlJc w:val="left"/>
      <w:pPr>
        <w:ind w:left="936" w:hanging="720"/>
      </w:pPr>
      <w:rPr>
        <w:rFonts w:hint="default"/>
        <w:b/>
        <w:color w:val="1F497D"/>
        <w:sz w:val="22"/>
      </w:rPr>
    </w:lvl>
    <w:lvl w:ilvl="4">
      <w:start w:val="1"/>
      <w:numFmt w:val="decimal"/>
      <w:lvlText w:val="%1.%2.%3.%4.%5"/>
      <w:lvlJc w:val="left"/>
      <w:pPr>
        <w:ind w:left="1368" w:hanging="1080"/>
      </w:pPr>
      <w:rPr>
        <w:rFonts w:hint="default"/>
        <w:b/>
        <w:color w:val="1F497D"/>
        <w:sz w:val="22"/>
      </w:rPr>
    </w:lvl>
    <w:lvl w:ilvl="5">
      <w:start w:val="1"/>
      <w:numFmt w:val="decimal"/>
      <w:lvlText w:val="%1.%2.%3.%4.%5.%6"/>
      <w:lvlJc w:val="left"/>
      <w:pPr>
        <w:ind w:left="1440" w:hanging="1080"/>
      </w:pPr>
      <w:rPr>
        <w:rFonts w:hint="default"/>
        <w:b/>
        <w:color w:val="1F497D"/>
        <w:sz w:val="22"/>
      </w:rPr>
    </w:lvl>
    <w:lvl w:ilvl="6">
      <w:start w:val="1"/>
      <w:numFmt w:val="decimal"/>
      <w:lvlText w:val="%1.%2.%3.%4.%5.%6.%7"/>
      <w:lvlJc w:val="left"/>
      <w:pPr>
        <w:ind w:left="1872" w:hanging="1440"/>
      </w:pPr>
      <w:rPr>
        <w:rFonts w:hint="default"/>
        <w:b/>
        <w:color w:val="1F497D"/>
        <w:sz w:val="22"/>
      </w:rPr>
    </w:lvl>
    <w:lvl w:ilvl="7">
      <w:start w:val="1"/>
      <w:numFmt w:val="decimal"/>
      <w:lvlText w:val="%1.%2.%3.%4.%5.%6.%7.%8"/>
      <w:lvlJc w:val="left"/>
      <w:pPr>
        <w:ind w:left="1944" w:hanging="1440"/>
      </w:pPr>
      <w:rPr>
        <w:rFonts w:hint="default"/>
        <w:b/>
        <w:color w:val="1F497D"/>
        <w:sz w:val="22"/>
      </w:rPr>
    </w:lvl>
    <w:lvl w:ilvl="8">
      <w:start w:val="1"/>
      <w:numFmt w:val="decimal"/>
      <w:lvlText w:val="%1.%2.%3.%4.%5.%6.%7.%8.%9"/>
      <w:lvlJc w:val="left"/>
      <w:pPr>
        <w:ind w:left="2016" w:hanging="1440"/>
      </w:pPr>
      <w:rPr>
        <w:rFonts w:hint="default"/>
        <w:b/>
        <w:color w:val="1F497D"/>
        <w:sz w:val="22"/>
      </w:rPr>
    </w:lvl>
  </w:abstractNum>
  <w:abstractNum w:abstractNumId="35" w15:restartNumberingAfterBreak="0">
    <w:nsid w:val="5FDF49BA"/>
    <w:multiLevelType w:val="hybridMultilevel"/>
    <w:tmpl w:val="B4E43AD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61A844F1"/>
    <w:multiLevelType w:val="hybridMultilevel"/>
    <w:tmpl w:val="2C8A1C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62E423DF"/>
    <w:multiLevelType w:val="hybridMultilevel"/>
    <w:tmpl w:val="C902E1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68890A56"/>
    <w:multiLevelType w:val="hybridMultilevel"/>
    <w:tmpl w:val="3B20B3B0"/>
    <w:lvl w:ilvl="0" w:tplc="5EA6947E">
      <w:start w:val="4"/>
      <w:numFmt w:val="bullet"/>
      <w:lvlText w:val="-"/>
      <w:lvlJc w:val="left"/>
      <w:pPr>
        <w:ind w:left="360" w:hanging="360"/>
      </w:pPr>
      <w:rPr>
        <w:rFonts w:ascii="Calibri" w:eastAsia="Times New Roman" w:hAnsi="Calibri" w:cs="Calibri" w:hint="default"/>
        <w:i w:val="0"/>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9" w15:restartNumberingAfterBreak="0">
    <w:nsid w:val="689F6CF0"/>
    <w:multiLevelType w:val="hybridMultilevel"/>
    <w:tmpl w:val="165402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6DD012CA"/>
    <w:multiLevelType w:val="hybridMultilevel"/>
    <w:tmpl w:val="FBD0F3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6F2537F9"/>
    <w:multiLevelType w:val="hybridMultilevel"/>
    <w:tmpl w:val="FB7EBB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6F67134D"/>
    <w:multiLevelType w:val="hybridMultilevel"/>
    <w:tmpl w:val="515C93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6FAA26BF"/>
    <w:multiLevelType w:val="hybridMultilevel"/>
    <w:tmpl w:val="6AA0FD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720C0BAB"/>
    <w:multiLevelType w:val="hybridMultilevel"/>
    <w:tmpl w:val="C38458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725165EC"/>
    <w:multiLevelType w:val="hybridMultilevel"/>
    <w:tmpl w:val="AA480C88"/>
    <w:lvl w:ilvl="0" w:tplc="12FA6DD0">
      <w:start w:val="1"/>
      <w:numFmt w:val="bullet"/>
      <w:lvlText w:val=""/>
      <w:lvlJc w:val="left"/>
      <w:pPr>
        <w:ind w:left="43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6" w15:restartNumberingAfterBreak="0">
    <w:nsid w:val="76125BCB"/>
    <w:multiLevelType w:val="hybridMultilevel"/>
    <w:tmpl w:val="AEA6C9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7C3C5E05"/>
    <w:multiLevelType w:val="hybridMultilevel"/>
    <w:tmpl w:val="7B20211C"/>
    <w:lvl w:ilvl="0" w:tplc="12FA6DD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D9B68DB"/>
    <w:multiLevelType w:val="hybridMultilevel"/>
    <w:tmpl w:val="DEFCFE6E"/>
    <w:lvl w:ilvl="0" w:tplc="12FA6DD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DDA64CD"/>
    <w:multiLevelType w:val="hybridMultilevel"/>
    <w:tmpl w:val="A1B4E4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7E763E63"/>
    <w:multiLevelType w:val="hybridMultilevel"/>
    <w:tmpl w:val="191C8C3E"/>
    <w:lvl w:ilvl="0" w:tplc="8B166F3A">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7ED206FF"/>
    <w:multiLevelType w:val="hybridMultilevel"/>
    <w:tmpl w:val="3C7E25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718234324">
    <w:abstractNumId w:val="10"/>
  </w:num>
  <w:num w:numId="2" w16cid:durableId="1203055472">
    <w:abstractNumId w:val="15"/>
  </w:num>
  <w:num w:numId="3" w16cid:durableId="983315928">
    <w:abstractNumId w:val="9"/>
  </w:num>
  <w:num w:numId="4" w16cid:durableId="1560703548">
    <w:abstractNumId w:val="21"/>
  </w:num>
  <w:num w:numId="5" w16cid:durableId="1081560654">
    <w:abstractNumId w:val="45"/>
  </w:num>
  <w:num w:numId="6" w16cid:durableId="501555868">
    <w:abstractNumId w:val="26"/>
  </w:num>
  <w:num w:numId="7" w16cid:durableId="1804158228">
    <w:abstractNumId w:val="3"/>
  </w:num>
  <w:num w:numId="8" w16cid:durableId="1212308089">
    <w:abstractNumId w:val="19"/>
  </w:num>
  <w:num w:numId="9" w16cid:durableId="1643533819">
    <w:abstractNumId w:val="24"/>
  </w:num>
  <w:num w:numId="10" w16cid:durableId="1242060945">
    <w:abstractNumId w:val="31"/>
  </w:num>
  <w:num w:numId="11" w16cid:durableId="931818310">
    <w:abstractNumId w:val="18"/>
  </w:num>
  <w:num w:numId="12" w16cid:durableId="820268068">
    <w:abstractNumId w:val="22"/>
  </w:num>
  <w:num w:numId="13" w16cid:durableId="1020664021">
    <w:abstractNumId w:val="34"/>
  </w:num>
  <w:num w:numId="14" w16cid:durableId="1981107211">
    <w:abstractNumId w:val="32"/>
  </w:num>
  <w:num w:numId="15" w16cid:durableId="1431857164">
    <w:abstractNumId w:val="29"/>
  </w:num>
  <w:num w:numId="16" w16cid:durableId="443696971">
    <w:abstractNumId w:val="8"/>
  </w:num>
  <w:num w:numId="17" w16cid:durableId="1117677740">
    <w:abstractNumId w:val="47"/>
  </w:num>
  <w:num w:numId="18" w16cid:durableId="874465484">
    <w:abstractNumId w:val="17"/>
  </w:num>
  <w:num w:numId="19" w16cid:durableId="1697349044">
    <w:abstractNumId w:val="0"/>
  </w:num>
  <w:num w:numId="20" w16cid:durableId="1164592797">
    <w:abstractNumId w:val="11"/>
  </w:num>
  <w:num w:numId="21" w16cid:durableId="2043552341">
    <w:abstractNumId w:val="1"/>
  </w:num>
  <w:num w:numId="22" w16cid:durableId="1118643217">
    <w:abstractNumId w:val="30"/>
  </w:num>
  <w:num w:numId="23" w16cid:durableId="294724208">
    <w:abstractNumId w:val="14"/>
  </w:num>
  <w:num w:numId="24" w16cid:durableId="757989500">
    <w:abstractNumId w:val="4"/>
  </w:num>
  <w:num w:numId="25" w16cid:durableId="866798561">
    <w:abstractNumId w:val="20"/>
  </w:num>
  <w:num w:numId="26" w16cid:durableId="693965288">
    <w:abstractNumId w:val="48"/>
  </w:num>
  <w:num w:numId="27" w16cid:durableId="1351369241">
    <w:abstractNumId w:val="5"/>
  </w:num>
  <w:num w:numId="28" w16cid:durableId="1967201495">
    <w:abstractNumId w:val="16"/>
  </w:num>
  <w:num w:numId="29" w16cid:durableId="522018117">
    <w:abstractNumId w:val="13"/>
  </w:num>
  <w:num w:numId="30" w16cid:durableId="626156443">
    <w:abstractNumId w:val="23"/>
  </w:num>
  <w:num w:numId="31" w16cid:durableId="1787505180">
    <w:abstractNumId w:val="12"/>
  </w:num>
  <w:num w:numId="32" w16cid:durableId="1353917036">
    <w:abstractNumId w:val="49"/>
  </w:num>
  <w:num w:numId="33" w16cid:durableId="1262640119">
    <w:abstractNumId w:val="6"/>
  </w:num>
  <w:num w:numId="34" w16cid:durableId="563443711">
    <w:abstractNumId w:val="2"/>
  </w:num>
  <w:num w:numId="35" w16cid:durableId="1036927497">
    <w:abstractNumId w:val="36"/>
  </w:num>
  <w:num w:numId="36" w16cid:durableId="336616201">
    <w:abstractNumId w:val="37"/>
  </w:num>
  <w:num w:numId="37" w16cid:durableId="971788433">
    <w:abstractNumId w:val="51"/>
  </w:num>
  <w:num w:numId="38" w16cid:durableId="338194740">
    <w:abstractNumId w:val="39"/>
  </w:num>
  <w:num w:numId="39" w16cid:durableId="697774926">
    <w:abstractNumId w:val="27"/>
  </w:num>
  <w:num w:numId="40" w16cid:durableId="1855920816">
    <w:abstractNumId w:val="7"/>
  </w:num>
  <w:num w:numId="41" w16cid:durableId="208612699">
    <w:abstractNumId w:val="42"/>
  </w:num>
  <w:num w:numId="42" w16cid:durableId="1160929732">
    <w:abstractNumId w:val="44"/>
  </w:num>
  <w:num w:numId="43" w16cid:durableId="1140457737">
    <w:abstractNumId w:val="38"/>
  </w:num>
  <w:num w:numId="44" w16cid:durableId="2004895345">
    <w:abstractNumId w:val="40"/>
  </w:num>
  <w:num w:numId="45" w16cid:durableId="483467860">
    <w:abstractNumId w:val="41"/>
  </w:num>
  <w:num w:numId="46" w16cid:durableId="1658919186">
    <w:abstractNumId w:val="33"/>
  </w:num>
  <w:num w:numId="47" w16cid:durableId="301546526">
    <w:abstractNumId w:val="35"/>
  </w:num>
  <w:num w:numId="48" w16cid:durableId="712120861">
    <w:abstractNumId w:val="43"/>
  </w:num>
  <w:num w:numId="49" w16cid:durableId="811675419">
    <w:abstractNumId w:val="25"/>
  </w:num>
  <w:num w:numId="50" w16cid:durableId="1353724657">
    <w:abstractNumId w:val="46"/>
  </w:num>
  <w:num w:numId="51" w16cid:durableId="582757380">
    <w:abstractNumId w:val="28"/>
  </w:num>
  <w:num w:numId="52" w16cid:durableId="254024919">
    <w:abstractNumId w:val="5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8AA"/>
    <w:rsid w:val="00011040"/>
    <w:rsid w:val="000169BD"/>
    <w:rsid w:val="00021968"/>
    <w:rsid w:val="000258AA"/>
    <w:rsid w:val="0003057A"/>
    <w:rsid w:val="000370C2"/>
    <w:rsid w:val="000421DA"/>
    <w:rsid w:val="00042D4E"/>
    <w:rsid w:val="00067AEA"/>
    <w:rsid w:val="00070340"/>
    <w:rsid w:val="00071808"/>
    <w:rsid w:val="00094B1C"/>
    <w:rsid w:val="000A04C5"/>
    <w:rsid w:val="000B109D"/>
    <w:rsid w:val="000B5B39"/>
    <w:rsid w:val="000C22F5"/>
    <w:rsid w:val="000C26F7"/>
    <w:rsid w:val="000C7254"/>
    <w:rsid w:val="000E413C"/>
    <w:rsid w:val="000E6F95"/>
    <w:rsid w:val="000F200C"/>
    <w:rsid w:val="000F7DFC"/>
    <w:rsid w:val="001015A3"/>
    <w:rsid w:val="00110D45"/>
    <w:rsid w:val="00113891"/>
    <w:rsid w:val="001209B5"/>
    <w:rsid w:val="001332EA"/>
    <w:rsid w:val="00134957"/>
    <w:rsid w:val="00136D66"/>
    <w:rsid w:val="00142C08"/>
    <w:rsid w:val="00142F71"/>
    <w:rsid w:val="001466CE"/>
    <w:rsid w:val="00146C93"/>
    <w:rsid w:val="00160EE4"/>
    <w:rsid w:val="00172585"/>
    <w:rsid w:val="001904C6"/>
    <w:rsid w:val="00194222"/>
    <w:rsid w:val="001957DE"/>
    <w:rsid w:val="001D0D9A"/>
    <w:rsid w:val="001D7FA6"/>
    <w:rsid w:val="001E2D9C"/>
    <w:rsid w:val="001E43D5"/>
    <w:rsid w:val="001E48FB"/>
    <w:rsid w:val="001F1E41"/>
    <w:rsid w:val="00204484"/>
    <w:rsid w:val="00212CAE"/>
    <w:rsid w:val="00216BD6"/>
    <w:rsid w:val="002222E1"/>
    <w:rsid w:val="00231249"/>
    <w:rsid w:val="00254408"/>
    <w:rsid w:val="0025537C"/>
    <w:rsid w:val="00265FB2"/>
    <w:rsid w:val="00283305"/>
    <w:rsid w:val="002A668C"/>
    <w:rsid w:val="002A6DA1"/>
    <w:rsid w:val="002B6470"/>
    <w:rsid w:val="002C5560"/>
    <w:rsid w:val="002E3E1D"/>
    <w:rsid w:val="002F100A"/>
    <w:rsid w:val="002F1DD0"/>
    <w:rsid w:val="002F6626"/>
    <w:rsid w:val="00302222"/>
    <w:rsid w:val="0030475F"/>
    <w:rsid w:val="00316B8D"/>
    <w:rsid w:val="003247E4"/>
    <w:rsid w:val="00343369"/>
    <w:rsid w:val="00355ECA"/>
    <w:rsid w:val="0039450A"/>
    <w:rsid w:val="003A2C59"/>
    <w:rsid w:val="003B0E6C"/>
    <w:rsid w:val="003E26FA"/>
    <w:rsid w:val="003E3777"/>
    <w:rsid w:val="003E5DC1"/>
    <w:rsid w:val="003F5E96"/>
    <w:rsid w:val="00413BDD"/>
    <w:rsid w:val="00422293"/>
    <w:rsid w:val="00427A92"/>
    <w:rsid w:val="004320B4"/>
    <w:rsid w:val="0043715C"/>
    <w:rsid w:val="00442F20"/>
    <w:rsid w:val="00443E14"/>
    <w:rsid w:val="00454814"/>
    <w:rsid w:val="00465424"/>
    <w:rsid w:val="00475771"/>
    <w:rsid w:val="00482CA6"/>
    <w:rsid w:val="00483C43"/>
    <w:rsid w:val="00485085"/>
    <w:rsid w:val="00490E1B"/>
    <w:rsid w:val="00493464"/>
    <w:rsid w:val="004C0A97"/>
    <w:rsid w:val="004C393B"/>
    <w:rsid w:val="004C4843"/>
    <w:rsid w:val="004C4A54"/>
    <w:rsid w:val="004C59AF"/>
    <w:rsid w:val="004C5B5F"/>
    <w:rsid w:val="004D5827"/>
    <w:rsid w:val="004D6C65"/>
    <w:rsid w:val="004E0B29"/>
    <w:rsid w:val="004E4F2B"/>
    <w:rsid w:val="005068B6"/>
    <w:rsid w:val="0053299C"/>
    <w:rsid w:val="00540DEB"/>
    <w:rsid w:val="005460AD"/>
    <w:rsid w:val="0055536D"/>
    <w:rsid w:val="00565B63"/>
    <w:rsid w:val="00591903"/>
    <w:rsid w:val="0059528B"/>
    <w:rsid w:val="005C5D0B"/>
    <w:rsid w:val="005D465A"/>
    <w:rsid w:val="0060134A"/>
    <w:rsid w:val="006055ED"/>
    <w:rsid w:val="00634211"/>
    <w:rsid w:val="00636564"/>
    <w:rsid w:val="006432B4"/>
    <w:rsid w:val="006444B4"/>
    <w:rsid w:val="0065126C"/>
    <w:rsid w:val="00652172"/>
    <w:rsid w:val="00660793"/>
    <w:rsid w:val="0067284C"/>
    <w:rsid w:val="00684B32"/>
    <w:rsid w:val="00686684"/>
    <w:rsid w:val="00693264"/>
    <w:rsid w:val="006C4304"/>
    <w:rsid w:val="006C4D6D"/>
    <w:rsid w:val="006E7FB1"/>
    <w:rsid w:val="006F02EF"/>
    <w:rsid w:val="006F7D2D"/>
    <w:rsid w:val="00702AC1"/>
    <w:rsid w:val="00710C3E"/>
    <w:rsid w:val="007205FB"/>
    <w:rsid w:val="007259A6"/>
    <w:rsid w:val="00761CBF"/>
    <w:rsid w:val="00762872"/>
    <w:rsid w:val="00770F32"/>
    <w:rsid w:val="00776255"/>
    <w:rsid w:val="00782524"/>
    <w:rsid w:val="00796EE6"/>
    <w:rsid w:val="00796FA7"/>
    <w:rsid w:val="007B2BD4"/>
    <w:rsid w:val="007B7F47"/>
    <w:rsid w:val="007C725B"/>
    <w:rsid w:val="007C7B9E"/>
    <w:rsid w:val="007D171B"/>
    <w:rsid w:val="007D1C17"/>
    <w:rsid w:val="007E01C6"/>
    <w:rsid w:val="007E4431"/>
    <w:rsid w:val="007E6A5E"/>
    <w:rsid w:val="007E7F10"/>
    <w:rsid w:val="007F2142"/>
    <w:rsid w:val="007F527F"/>
    <w:rsid w:val="00820A61"/>
    <w:rsid w:val="0082279C"/>
    <w:rsid w:val="0083377B"/>
    <w:rsid w:val="00842767"/>
    <w:rsid w:val="00851FB3"/>
    <w:rsid w:val="00862016"/>
    <w:rsid w:val="00884571"/>
    <w:rsid w:val="008B6C5F"/>
    <w:rsid w:val="008C13B6"/>
    <w:rsid w:val="008D32EF"/>
    <w:rsid w:val="008E0141"/>
    <w:rsid w:val="0090366B"/>
    <w:rsid w:val="00905C9A"/>
    <w:rsid w:val="009149A9"/>
    <w:rsid w:val="00936569"/>
    <w:rsid w:val="00946B33"/>
    <w:rsid w:val="009474B0"/>
    <w:rsid w:val="00951C5F"/>
    <w:rsid w:val="009541AE"/>
    <w:rsid w:val="009608FB"/>
    <w:rsid w:val="00963349"/>
    <w:rsid w:val="009634CC"/>
    <w:rsid w:val="009763AB"/>
    <w:rsid w:val="00986F4E"/>
    <w:rsid w:val="00995B62"/>
    <w:rsid w:val="009A1AF9"/>
    <w:rsid w:val="009B4C17"/>
    <w:rsid w:val="009D05B6"/>
    <w:rsid w:val="009E069D"/>
    <w:rsid w:val="009E6EC8"/>
    <w:rsid w:val="009F78A6"/>
    <w:rsid w:val="00A10D6E"/>
    <w:rsid w:val="00A13D5F"/>
    <w:rsid w:val="00A13FE5"/>
    <w:rsid w:val="00A151DF"/>
    <w:rsid w:val="00A3456F"/>
    <w:rsid w:val="00A35411"/>
    <w:rsid w:val="00A41612"/>
    <w:rsid w:val="00A447E0"/>
    <w:rsid w:val="00A527DE"/>
    <w:rsid w:val="00A63AF3"/>
    <w:rsid w:val="00A807D1"/>
    <w:rsid w:val="00A86E49"/>
    <w:rsid w:val="00A87ACA"/>
    <w:rsid w:val="00A9710D"/>
    <w:rsid w:val="00AA1F06"/>
    <w:rsid w:val="00AA4330"/>
    <w:rsid w:val="00AD52B6"/>
    <w:rsid w:val="00AE041F"/>
    <w:rsid w:val="00AF2FE6"/>
    <w:rsid w:val="00AF7C44"/>
    <w:rsid w:val="00B05989"/>
    <w:rsid w:val="00B106E8"/>
    <w:rsid w:val="00B10A2E"/>
    <w:rsid w:val="00B21BA6"/>
    <w:rsid w:val="00B25AC2"/>
    <w:rsid w:val="00B27993"/>
    <w:rsid w:val="00B32321"/>
    <w:rsid w:val="00B45678"/>
    <w:rsid w:val="00B47092"/>
    <w:rsid w:val="00B50338"/>
    <w:rsid w:val="00B52121"/>
    <w:rsid w:val="00B67996"/>
    <w:rsid w:val="00B77D23"/>
    <w:rsid w:val="00B87BBA"/>
    <w:rsid w:val="00B959F6"/>
    <w:rsid w:val="00B9727C"/>
    <w:rsid w:val="00BA6729"/>
    <w:rsid w:val="00BB2435"/>
    <w:rsid w:val="00BB2AEF"/>
    <w:rsid w:val="00BC345D"/>
    <w:rsid w:val="00BC4A2E"/>
    <w:rsid w:val="00BD21A3"/>
    <w:rsid w:val="00BD4A23"/>
    <w:rsid w:val="00BE01E6"/>
    <w:rsid w:val="00BF257F"/>
    <w:rsid w:val="00C00D03"/>
    <w:rsid w:val="00C37EEA"/>
    <w:rsid w:val="00C577F0"/>
    <w:rsid w:val="00C7304B"/>
    <w:rsid w:val="00C74998"/>
    <w:rsid w:val="00CA01D6"/>
    <w:rsid w:val="00CA19FE"/>
    <w:rsid w:val="00CA22FF"/>
    <w:rsid w:val="00CC0EFE"/>
    <w:rsid w:val="00CD397B"/>
    <w:rsid w:val="00CE5E7B"/>
    <w:rsid w:val="00CF69BA"/>
    <w:rsid w:val="00D03BB5"/>
    <w:rsid w:val="00D12ACF"/>
    <w:rsid w:val="00D13B38"/>
    <w:rsid w:val="00D2367F"/>
    <w:rsid w:val="00D33080"/>
    <w:rsid w:val="00D6725D"/>
    <w:rsid w:val="00D858F1"/>
    <w:rsid w:val="00D91359"/>
    <w:rsid w:val="00D92ED2"/>
    <w:rsid w:val="00D951B9"/>
    <w:rsid w:val="00DB3E78"/>
    <w:rsid w:val="00DE0B50"/>
    <w:rsid w:val="00DE0F2F"/>
    <w:rsid w:val="00DE3925"/>
    <w:rsid w:val="00DE43A9"/>
    <w:rsid w:val="00DE4943"/>
    <w:rsid w:val="00DE77EC"/>
    <w:rsid w:val="00DE7C20"/>
    <w:rsid w:val="00DF1463"/>
    <w:rsid w:val="00E036CD"/>
    <w:rsid w:val="00E07744"/>
    <w:rsid w:val="00E12E1F"/>
    <w:rsid w:val="00E268FC"/>
    <w:rsid w:val="00E33963"/>
    <w:rsid w:val="00E46106"/>
    <w:rsid w:val="00E46C84"/>
    <w:rsid w:val="00E479D4"/>
    <w:rsid w:val="00E50134"/>
    <w:rsid w:val="00E71A51"/>
    <w:rsid w:val="00E76564"/>
    <w:rsid w:val="00E82AEE"/>
    <w:rsid w:val="00EA0EF8"/>
    <w:rsid w:val="00EB6BEE"/>
    <w:rsid w:val="00EF079F"/>
    <w:rsid w:val="00EF28F6"/>
    <w:rsid w:val="00EF41DF"/>
    <w:rsid w:val="00F00892"/>
    <w:rsid w:val="00F156CD"/>
    <w:rsid w:val="00F2437E"/>
    <w:rsid w:val="00F37F13"/>
    <w:rsid w:val="00F45150"/>
    <w:rsid w:val="00F54DA3"/>
    <w:rsid w:val="00F60116"/>
    <w:rsid w:val="00F62BEB"/>
    <w:rsid w:val="00F661AB"/>
    <w:rsid w:val="00F7085F"/>
    <w:rsid w:val="00F744A8"/>
    <w:rsid w:val="00F756ED"/>
    <w:rsid w:val="00F81B86"/>
    <w:rsid w:val="00F8291F"/>
    <w:rsid w:val="00F956D0"/>
    <w:rsid w:val="00F96B09"/>
    <w:rsid w:val="00FA7DB6"/>
    <w:rsid w:val="00FF0AAE"/>
    <w:rsid w:val="00FF52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306B2D"/>
  <w15:docId w15:val="{92AB7D4D-CA62-4AB4-9E5E-D4B218022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58AA"/>
    <w:rPr>
      <w:rFonts w:ascii="Times New Roman" w:eastAsia="Times New Roman" w:hAnsi="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e">
    <w:name w:val="paragraph-e"/>
    <w:basedOn w:val="Normal"/>
    <w:rsid w:val="000258AA"/>
    <w:pPr>
      <w:snapToGrid w:val="0"/>
      <w:spacing w:after="120"/>
      <w:ind w:left="1117" w:hanging="400"/>
    </w:pPr>
    <w:rPr>
      <w:color w:val="000000"/>
      <w:sz w:val="26"/>
      <w:szCs w:val="26"/>
    </w:rPr>
  </w:style>
  <w:style w:type="paragraph" w:customStyle="1" w:styleId="section-e">
    <w:name w:val="section-e"/>
    <w:basedOn w:val="Normal"/>
    <w:rsid w:val="000258AA"/>
    <w:pPr>
      <w:snapToGrid w:val="0"/>
      <w:spacing w:after="120"/>
      <w:ind w:firstLine="600"/>
    </w:pPr>
    <w:rPr>
      <w:color w:val="000000"/>
      <w:sz w:val="26"/>
      <w:szCs w:val="26"/>
    </w:rPr>
  </w:style>
  <w:style w:type="paragraph" w:customStyle="1" w:styleId="headnote-e">
    <w:name w:val="headnote-e"/>
    <w:basedOn w:val="Normal"/>
    <w:rsid w:val="000258AA"/>
    <w:pPr>
      <w:keepNext/>
      <w:snapToGrid w:val="0"/>
    </w:pPr>
    <w:rPr>
      <w:b/>
      <w:bCs/>
      <w:color w:val="000000"/>
      <w:sz w:val="26"/>
      <w:szCs w:val="26"/>
    </w:rPr>
  </w:style>
  <w:style w:type="paragraph" w:customStyle="1" w:styleId="clause-e">
    <w:name w:val="clause-e"/>
    <w:basedOn w:val="Normal"/>
    <w:rsid w:val="000258AA"/>
    <w:pPr>
      <w:snapToGrid w:val="0"/>
      <w:spacing w:after="120"/>
      <w:ind w:left="1111" w:hanging="400"/>
    </w:pPr>
    <w:rPr>
      <w:color w:val="000000"/>
      <w:sz w:val="26"/>
      <w:szCs w:val="26"/>
    </w:rPr>
  </w:style>
  <w:style w:type="paragraph" w:customStyle="1" w:styleId="subclause-e">
    <w:name w:val="subclause-e"/>
    <w:basedOn w:val="Normal"/>
    <w:rsid w:val="000258AA"/>
    <w:pPr>
      <w:snapToGrid w:val="0"/>
      <w:spacing w:after="120"/>
      <w:ind w:left="1673" w:hanging="400"/>
    </w:pPr>
    <w:rPr>
      <w:color w:val="000000"/>
      <w:sz w:val="26"/>
      <w:szCs w:val="26"/>
    </w:rPr>
  </w:style>
  <w:style w:type="paragraph" w:styleId="Header">
    <w:name w:val="header"/>
    <w:basedOn w:val="Normal"/>
    <w:link w:val="HeaderChar"/>
    <w:uiPriority w:val="99"/>
    <w:unhideWhenUsed/>
    <w:rsid w:val="000258AA"/>
    <w:pPr>
      <w:tabs>
        <w:tab w:val="center" w:pos="4680"/>
        <w:tab w:val="right" w:pos="9360"/>
      </w:tabs>
    </w:pPr>
  </w:style>
  <w:style w:type="character" w:customStyle="1" w:styleId="HeaderChar">
    <w:name w:val="Header Char"/>
    <w:basedOn w:val="DefaultParagraphFont"/>
    <w:link w:val="Header"/>
    <w:uiPriority w:val="99"/>
    <w:rsid w:val="000258A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258AA"/>
    <w:pPr>
      <w:tabs>
        <w:tab w:val="center" w:pos="4680"/>
        <w:tab w:val="right" w:pos="9360"/>
      </w:tabs>
    </w:pPr>
  </w:style>
  <w:style w:type="character" w:customStyle="1" w:styleId="FooterChar">
    <w:name w:val="Footer Char"/>
    <w:basedOn w:val="DefaultParagraphFont"/>
    <w:link w:val="Footer"/>
    <w:uiPriority w:val="99"/>
    <w:rsid w:val="000258AA"/>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258AA"/>
    <w:rPr>
      <w:rFonts w:ascii="Tahoma" w:hAnsi="Tahoma" w:cs="Tahoma"/>
      <w:sz w:val="16"/>
      <w:szCs w:val="16"/>
    </w:rPr>
  </w:style>
  <w:style w:type="character" w:customStyle="1" w:styleId="BalloonTextChar">
    <w:name w:val="Balloon Text Char"/>
    <w:basedOn w:val="DefaultParagraphFont"/>
    <w:link w:val="BalloonText"/>
    <w:uiPriority w:val="99"/>
    <w:semiHidden/>
    <w:rsid w:val="000258AA"/>
    <w:rPr>
      <w:rFonts w:ascii="Tahoma" w:eastAsia="Times New Roman" w:hAnsi="Tahoma" w:cs="Tahoma"/>
      <w:sz w:val="16"/>
      <w:szCs w:val="16"/>
    </w:rPr>
  </w:style>
  <w:style w:type="paragraph" w:customStyle="1" w:styleId="subsection-e">
    <w:name w:val="subsection-e"/>
    <w:basedOn w:val="Normal"/>
    <w:rsid w:val="00E82AEE"/>
    <w:pPr>
      <w:snapToGrid w:val="0"/>
      <w:spacing w:after="120"/>
      <w:ind w:firstLine="600"/>
    </w:pPr>
    <w:rPr>
      <w:color w:val="000000"/>
      <w:sz w:val="26"/>
      <w:szCs w:val="26"/>
    </w:rPr>
  </w:style>
  <w:style w:type="character" w:styleId="Hyperlink">
    <w:name w:val="Hyperlink"/>
    <w:basedOn w:val="DefaultParagraphFont"/>
    <w:uiPriority w:val="99"/>
    <w:unhideWhenUsed/>
    <w:rsid w:val="00EF28F6"/>
    <w:rPr>
      <w:color w:val="0000FF"/>
      <w:u w:val="single"/>
    </w:rPr>
  </w:style>
  <w:style w:type="table" w:styleId="TableGrid">
    <w:name w:val="Table Grid"/>
    <w:basedOn w:val="TableNormal"/>
    <w:uiPriority w:val="59"/>
    <w:rsid w:val="007D17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5537C"/>
    <w:pPr>
      <w:ind w:left="720"/>
      <w:contextualSpacing/>
    </w:pPr>
  </w:style>
  <w:style w:type="character" w:styleId="UnresolvedMention">
    <w:name w:val="Unresolved Mention"/>
    <w:basedOn w:val="DefaultParagraphFont"/>
    <w:uiPriority w:val="99"/>
    <w:semiHidden/>
    <w:unhideWhenUsed/>
    <w:rsid w:val="00F37F13"/>
    <w:rPr>
      <w:color w:val="605E5C"/>
      <w:shd w:val="clear" w:color="auto" w:fill="E1DFDD"/>
    </w:rPr>
  </w:style>
  <w:style w:type="paragraph" w:styleId="NoSpacing">
    <w:name w:val="No Spacing"/>
    <w:uiPriority w:val="1"/>
    <w:qFormat/>
    <w:rsid w:val="0039450A"/>
    <w:rPr>
      <w:rFonts w:asciiTheme="minorHAnsi" w:eastAsiaTheme="minorHAnsi" w:hAnsiTheme="minorHAnsi" w:cstheme="minorBidi"/>
      <w:sz w:val="22"/>
      <w:szCs w:val="22"/>
      <w:lang w:eastAsia="en-US"/>
    </w:rPr>
  </w:style>
  <w:style w:type="character" w:customStyle="1" w:styleId="cf01">
    <w:name w:val="cf01"/>
    <w:basedOn w:val="DefaultParagraphFont"/>
    <w:rsid w:val="0039450A"/>
    <w:rPr>
      <w:rFonts w:ascii="Segoe UI" w:hAnsi="Segoe UI" w:cs="Segoe UI" w:hint="default"/>
      <w:b/>
      <w:bCs/>
      <w:sz w:val="18"/>
      <w:szCs w:val="18"/>
    </w:rPr>
  </w:style>
  <w:style w:type="character" w:customStyle="1" w:styleId="cf11">
    <w:name w:val="cf11"/>
    <w:basedOn w:val="DefaultParagraphFont"/>
    <w:rsid w:val="0039450A"/>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654158">
      <w:bodyDiv w:val="1"/>
      <w:marLeft w:val="0"/>
      <w:marRight w:val="0"/>
      <w:marTop w:val="0"/>
      <w:marBottom w:val="0"/>
      <w:divBdr>
        <w:top w:val="none" w:sz="0" w:space="0" w:color="auto"/>
        <w:left w:val="none" w:sz="0" w:space="0" w:color="auto"/>
        <w:bottom w:val="none" w:sz="0" w:space="0" w:color="auto"/>
        <w:right w:val="none" w:sz="0" w:space="0" w:color="auto"/>
      </w:divBdr>
      <w:divsChild>
        <w:div w:id="848757105">
          <w:marLeft w:val="0"/>
          <w:marRight w:val="0"/>
          <w:marTop w:val="0"/>
          <w:marBottom w:val="0"/>
          <w:divBdr>
            <w:top w:val="none" w:sz="0" w:space="0" w:color="auto"/>
            <w:left w:val="none" w:sz="0" w:space="0" w:color="auto"/>
            <w:bottom w:val="none" w:sz="0" w:space="0" w:color="auto"/>
            <w:right w:val="none" w:sz="0" w:space="0" w:color="auto"/>
          </w:divBdr>
          <w:divsChild>
            <w:div w:id="48104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129908">
      <w:bodyDiv w:val="1"/>
      <w:marLeft w:val="0"/>
      <w:marRight w:val="0"/>
      <w:marTop w:val="0"/>
      <w:marBottom w:val="0"/>
      <w:divBdr>
        <w:top w:val="none" w:sz="0" w:space="0" w:color="auto"/>
        <w:left w:val="none" w:sz="0" w:space="0" w:color="auto"/>
        <w:bottom w:val="none" w:sz="0" w:space="0" w:color="auto"/>
        <w:right w:val="none" w:sz="0" w:space="0" w:color="auto"/>
      </w:divBdr>
      <w:divsChild>
        <w:div w:id="654334741">
          <w:marLeft w:val="0"/>
          <w:marRight w:val="0"/>
          <w:marTop w:val="0"/>
          <w:marBottom w:val="0"/>
          <w:divBdr>
            <w:top w:val="none" w:sz="0" w:space="0" w:color="auto"/>
            <w:left w:val="none" w:sz="0" w:space="0" w:color="auto"/>
            <w:bottom w:val="none" w:sz="0" w:space="0" w:color="auto"/>
            <w:right w:val="none" w:sz="0" w:space="0" w:color="auto"/>
          </w:divBdr>
          <w:divsChild>
            <w:div w:id="130901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109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18" Type="http://schemas.openxmlformats.org/officeDocument/2006/relationships/hyperlink" Target="https://www.ontario.ca/laws/statute/21f39"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nao.ca/leading-change-toolkit" TargetMode="External"/><Relationship Id="rId5" Type="http://schemas.openxmlformats.org/officeDocument/2006/relationships/webSettings" Target="webSettings.xml"/><Relationship Id="rId15" Type="http://schemas.openxmlformats.org/officeDocument/2006/relationships/package" Target="embeddings/Microsoft_Word_Document.docx"/><Relationship Id="rId23" Type="http://schemas.openxmlformats.org/officeDocument/2006/relationships/theme" Target="theme/theme1.xml"/><Relationship Id="rId10" Type="http://schemas.openxmlformats.org/officeDocument/2006/relationships/hyperlink" Target="https://rnao.ca/bpg/guidelines/transitions-in-care" TargetMode="External"/><Relationship Id="rId19" Type="http://schemas.openxmlformats.org/officeDocument/2006/relationships/hyperlink" Target="https://www.ontario.ca/laws/regulation/r22246"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F5246C-26C3-4530-8B45-C1A1E8A3B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1534</Words>
  <Characters>8746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Work Sheet</vt:lpstr>
    </vt:vector>
  </TitlesOfParts>
  <Company>Fleming College</Company>
  <LinksUpToDate>false</LinksUpToDate>
  <CharactersWithSpaces>10260</CharactersWithSpaces>
  <SharedDoc>false</SharedDoc>
  <HLinks>
    <vt:vector size="60" baseType="variant">
      <vt:variant>
        <vt:i4>7208966</vt:i4>
      </vt:variant>
      <vt:variant>
        <vt:i4>30</vt:i4>
      </vt:variant>
      <vt:variant>
        <vt:i4>0</vt:i4>
      </vt:variant>
      <vt:variant>
        <vt:i4>5</vt:i4>
      </vt:variant>
      <vt:variant>
        <vt:lpwstr>http://www.e-laws.gov.on.ca/html/regs/french/elaws_regs_100079_f.htm</vt:lpwstr>
      </vt:variant>
      <vt:variant>
        <vt:lpwstr>s49s3</vt:lpwstr>
      </vt:variant>
      <vt:variant>
        <vt:i4>7208966</vt:i4>
      </vt:variant>
      <vt:variant>
        <vt:i4>27</vt:i4>
      </vt:variant>
      <vt:variant>
        <vt:i4>0</vt:i4>
      </vt:variant>
      <vt:variant>
        <vt:i4>5</vt:i4>
      </vt:variant>
      <vt:variant>
        <vt:lpwstr>http://www.e-laws.gov.on.ca/html/regs/french/elaws_regs_100079_f.htm</vt:lpwstr>
      </vt:variant>
      <vt:variant>
        <vt:lpwstr>s49s2</vt:lpwstr>
      </vt:variant>
      <vt:variant>
        <vt:i4>7208966</vt:i4>
      </vt:variant>
      <vt:variant>
        <vt:i4>24</vt:i4>
      </vt:variant>
      <vt:variant>
        <vt:i4>0</vt:i4>
      </vt:variant>
      <vt:variant>
        <vt:i4>5</vt:i4>
      </vt:variant>
      <vt:variant>
        <vt:lpwstr>http://www.e-laws.gov.on.ca/html/regs/french/elaws_regs_100079_f.htm</vt:lpwstr>
      </vt:variant>
      <vt:variant>
        <vt:lpwstr>s49s1</vt:lpwstr>
      </vt:variant>
      <vt:variant>
        <vt:i4>7208966</vt:i4>
      </vt:variant>
      <vt:variant>
        <vt:i4>21</vt:i4>
      </vt:variant>
      <vt:variant>
        <vt:i4>0</vt:i4>
      </vt:variant>
      <vt:variant>
        <vt:i4>5</vt:i4>
      </vt:variant>
      <vt:variant>
        <vt:lpwstr>http://www.e-laws.gov.on.ca/html/regs/french/elaws_regs_100079_f.htm</vt:lpwstr>
      </vt:variant>
      <vt:variant>
        <vt:lpwstr>s49s1</vt:lpwstr>
      </vt:variant>
      <vt:variant>
        <vt:i4>6881295</vt:i4>
      </vt:variant>
      <vt:variant>
        <vt:i4>18</vt:i4>
      </vt:variant>
      <vt:variant>
        <vt:i4>0</vt:i4>
      </vt:variant>
      <vt:variant>
        <vt:i4>5</vt:i4>
      </vt:variant>
      <vt:variant>
        <vt:lpwstr>http://www.e-laws.gov.on.ca/html/regs/french/elaws_regs_100079_f.htm</vt:lpwstr>
      </vt:variant>
      <vt:variant>
        <vt:lpwstr>s30s2</vt:lpwstr>
      </vt:variant>
      <vt:variant>
        <vt:i4>6881295</vt:i4>
      </vt:variant>
      <vt:variant>
        <vt:i4>15</vt:i4>
      </vt:variant>
      <vt:variant>
        <vt:i4>0</vt:i4>
      </vt:variant>
      <vt:variant>
        <vt:i4>5</vt:i4>
      </vt:variant>
      <vt:variant>
        <vt:lpwstr>http://www.e-laws.gov.on.ca/html/regs/french/elaws_regs_100079_f.htm</vt:lpwstr>
      </vt:variant>
      <vt:variant>
        <vt:lpwstr>s30s1</vt:lpwstr>
      </vt:variant>
      <vt:variant>
        <vt:i4>6881295</vt:i4>
      </vt:variant>
      <vt:variant>
        <vt:i4>12</vt:i4>
      </vt:variant>
      <vt:variant>
        <vt:i4>0</vt:i4>
      </vt:variant>
      <vt:variant>
        <vt:i4>5</vt:i4>
      </vt:variant>
      <vt:variant>
        <vt:lpwstr>http://www.e-laws.gov.on.ca/html/regs/french/elaws_regs_100079_f.htm</vt:lpwstr>
      </vt:variant>
      <vt:variant>
        <vt:lpwstr>s30s1</vt:lpwstr>
      </vt:variant>
      <vt:variant>
        <vt:i4>7208967</vt:i4>
      </vt:variant>
      <vt:variant>
        <vt:i4>9</vt:i4>
      </vt:variant>
      <vt:variant>
        <vt:i4>0</vt:i4>
      </vt:variant>
      <vt:variant>
        <vt:i4>5</vt:i4>
      </vt:variant>
      <vt:variant>
        <vt:lpwstr>http://www.e-laws.gov.on.ca/html/regs/french/elaws_regs_100079_f.htm</vt:lpwstr>
      </vt:variant>
      <vt:variant>
        <vt:lpwstr>s48s2</vt:lpwstr>
      </vt:variant>
      <vt:variant>
        <vt:i4>7208967</vt:i4>
      </vt:variant>
      <vt:variant>
        <vt:i4>6</vt:i4>
      </vt:variant>
      <vt:variant>
        <vt:i4>0</vt:i4>
      </vt:variant>
      <vt:variant>
        <vt:i4>5</vt:i4>
      </vt:variant>
      <vt:variant>
        <vt:lpwstr>http://www.e-laws.gov.on.ca/html/regs/french/elaws_regs_100079_f.htm</vt:lpwstr>
      </vt:variant>
      <vt:variant>
        <vt:lpwstr>s48s1</vt:lpwstr>
      </vt:variant>
      <vt:variant>
        <vt:i4>7208967</vt:i4>
      </vt:variant>
      <vt:variant>
        <vt:i4>3</vt:i4>
      </vt:variant>
      <vt:variant>
        <vt:i4>0</vt:i4>
      </vt:variant>
      <vt:variant>
        <vt:i4>5</vt:i4>
      </vt:variant>
      <vt:variant>
        <vt:lpwstr>http://www.e-laws.gov.on.ca/html/regs/french/elaws_regs_100079_f.htm</vt:lpwstr>
      </vt:variant>
      <vt:variant>
        <vt:lpwstr>s48s1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 Sheet</dc:title>
  <dc:creator>josies</dc:creator>
  <cp:lastModifiedBy>Susan McRae</cp:lastModifiedBy>
  <cp:revision>2</cp:revision>
  <cp:lastPrinted>2021-01-21T14:29:00Z</cp:lastPrinted>
  <dcterms:created xsi:type="dcterms:W3CDTF">2024-01-30T16:43:00Z</dcterms:created>
  <dcterms:modified xsi:type="dcterms:W3CDTF">2024-01-30T16:43:00Z</dcterms:modified>
</cp:coreProperties>
</file>